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jc w:val="center"/>
      </w:pPr>
      <w:r>
        <w:drawing>
          <wp:inline distT="0" distB="0" distL="0" distR="0">
            <wp:extent cx="3905250" cy="2019300"/>
            <wp:effectExtent l="0" t="0" r="0" b="0"/>
            <wp:docPr id="90" name="图表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</w:rPr>
        <w:t xml:space="preserve"> 2018届毕业生对已签约单位晋升空间评价</w:t>
      </w:r>
    </w:p>
    <w:p>
      <w:pPr>
        <w:pStyle w:val="4"/>
      </w:pPr>
      <w:bookmarkStart w:id="0" w:name="_Toc534985145"/>
      <w:r>
        <w:rPr>
          <w:rFonts w:hint="eastAsia"/>
        </w:rPr>
        <w:t>（六）工作岗位评价</w:t>
      </w:r>
      <w:bookmarkEnd w:id="0"/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毕业生对工作岗位的评价较高，其中工作环境的满意度为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91.86%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，其次是工作稳定性（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89.92%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），培训机会（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89.10%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）和工作自主性（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88.95%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keepNext/>
        <w:jc w:val="center"/>
      </w:pPr>
      <w:r>
        <w:drawing>
          <wp:inline distT="0" distB="0" distL="0" distR="0">
            <wp:extent cx="4874895" cy="3556635"/>
            <wp:effectExtent l="0" t="0" r="0" b="0"/>
            <wp:docPr id="9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994" cy="35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11</w:t>
      </w:r>
      <w:r>
        <w:fldChar w:fldCharType="end"/>
      </w:r>
      <w:r>
        <w:t xml:space="preserve"> </w:t>
      </w:r>
      <w:r>
        <w:rPr>
          <w:rFonts w:hint="eastAsia"/>
        </w:rPr>
        <w:t>2018届毕业生对工作岗位评价</w:t>
      </w:r>
    </w:p>
    <w:p>
      <w:pPr>
        <w:pStyle w:val="4"/>
      </w:pPr>
      <w:bookmarkStart w:id="1" w:name="_Toc534985146"/>
      <w:r>
        <w:rPr>
          <w:rFonts w:hint="eastAsia"/>
        </w:rPr>
        <w:t>（七）工作转换程度</w:t>
      </w:r>
      <w:bookmarkEnd w:id="1"/>
    </w:p>
    <w:p>
      <w:pPr>
        <w:ind w:firstLine="480" w:firstLineChars="200"/>
      </w:pPr>
      <w:r>
        <w:t>毕业生</w:t>
      </w:r>
      <w:r>
        <w:rPr>
          <w:rFonts w:hint="eastAsia"/>
        </w:rPr>
        <w:t>更换工作情况分布，毕业生没有更换过工作的比例最大（</w:t>
      </w:r>
      <w:r>
        <w:t>75.12</w:t>
      </w:r>
      <w:r>
        <w:rPr>
          <w:rFonts w:hint="eastAsia"/>
        </w:rPr>
        <w:t>%），更换过2次（不包括2次）以上的比例为</w:t>
      </w:r>
      <w:r>
        <w:t>2.27</w:t>
      </w:r>
      <w:r>
        <w:rPr>
          <w:rFonts w:hint="eastAsia"/>
        </w:rPr>
        <w:t>%。</w:t>
      </w:r>
    </w:p>
    <w:p>
      <w:pPr>
        <w:keepNext/>
        <w:jc w:val="center"/>
      </w:pPr>
      <w:r>
        <w:drawing>
          <wp:inline distT="0" distB="0" distL="0" distR="0">
            <wp:extent cx="3362325" cy="1828800"/>
            <wp:effectExtent l="0" t="0" r="9525" b="0"/>
            <wp:docPr id="92" name="图表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6"/>
        <w:jc w:val="center"/>
        <w:rPr>
          <w:highlight w:val="yellow"/>
        </w:rPr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12</w:t>
      </w:r>
      <w:r>
        <w:fldChar w:fldCharType="end"/>
      </w:r>
      <w:r>
        <w:rPr>
          <w:rFonts w:hint="eastAsia"/>
        </w:rPr>
        <w:t xml:space="preserve"> 2018届毕业生更换工作情况分布</w:t>
      </w:r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毕业生更换工作的主要原因是发展空间不大，占比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23.88%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；其次是薪资福利差，占比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18.56%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。说明毕业生在工作时十分在意未来的发展空间以及薪资福利。</w:t>
      </w:r>
    </w:p>
    <w:p>
      <w:pPr>
        <w:keepNext/>
        <w:jc w:val="center"/>
      </w:pPr>
      <w:r>
        <w:drawing>
          <wp:inline distT="0" distB="0" distL="0" distR="0">
            <wp:extent cx="3141980" cy="2421890"/>
            <wp:effectExtent l="0" t="0" r="1270" b="1651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290" cy="246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13</w:t>
      </w:r>
      <w:r>
        <w:fldChar w:fldCharType="end"/>
      </w:r>
      <w:r>
        <w:rPr>
          <w:rFonts w:hint="eastAsia"/>
        </w:rPr>
        <w:t xml:space="preserve"> 2018届毕业生换工作的原因分布</w:t>
      </w:r>
    </w:p>
    <w:p>
      <w:pPr>
        <w:pStyle w:val="3"/>
      </w:pPr>
      <w:bookmarkStart w:id="2" w:name="_Toc534985147"/>
      <w:r>
        <w:rPr>
          <w:rFonts w:hint="eastAsia"/>
        </w:rPr>
        <w:t>二、求</w:t>
      </w:r>
      <w:r>
        <w:rPr>
          <w:rFonts w:cs="宋体"/>
        </w:rPr>
        <w:t>职</w:t>
      </w:r>
      <w:r>
        <w:rPr>
          <w:rFonts w:hint="eastAsia"/>
        </w:rPr>
        <w:t>行</w:t>
      </w:r>
      <w:r>
        <w:rPr>
          <w:rFonts w:cs="宋体"/>
        </w:rPr>
        <w:t>为</w:t>
      </w:r>
      <w:r>
        <w:rPr>
          <w:rFonts w:hint="eastAsia"/>
        </w:rPr>
        <w:t>分析</w:t>
      </w:r>
      <w:bookmarkEnd w:id="2"/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针对毕业生的求职行为，我们将从以下五个方面展开分析：一是求职途径，二是求职成本，三是求职关注因素，四是就业成功因素，五是求职困难原因。</w:t>
      </w:r>
    </w:p>
    <w:p>
      <w:pPr>
        <w:pStyle w:val="4"/>
      </w:pPr>
      <w:bookmarkStart w:id="3" w:name="_Toc534985148"/>
      <w:r>
        <w:rPr>
          <w:rFonts w:hint="eastAsia"/>
        </w:rPr>
        <w:t>（一）求职途径</w:t>
      </w:r>
      <w:bookmarkEnd w:id="3"/>
    </w:p>
    <w:p>
      <w:pPr>
        <w:ind w:firstLine="480" w:firstLineChars="200"/>
      </w:pPr>
      <w:r>
        <w:rPr>
          <w:rFonts w:hint="eastAsia"/>
        </w:rPr>
        <w:t xml:space="preserve">求职途径分布表明，母校推介和自己直接联系应聘为毕业生求职的主要途径，分别占比为43.58%和28.94%，这反映了毕业生就业比较积极主动，同时也反映了母校的就业工作较为完善，就业服务卓有成效。 </w:t>
      </w:r>
    </w:p>
    <w:p>
      <w:pPr>
        <w:pStyle w:val="6"/>
        <w:keepNext/>
        <w:jc w:val="center"/>
      </w:pPr>
      <w:r>
        <w:drawing>
          <wp:inline distT="0" distB="0" distL="0" distR="0">
            <wp:extent cx="3790950" cy="1932305"/>
            <wp:effectExtent l="0" t="0" r="0" b="1079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378" cy="194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 xml:space="preserve">图3-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14</w:t>
      </w:r>
      <w:r>
        <w:fldChar w:fldCharType="end"/>
      </w:r>
      <w:r>
        <w:t xml:space="preserve"> </w:t>
      </w:r>
      <w:r>
        <w:rPr>
          <w:rFonts w:hint="eastAsia"/>
        </w:rPr>
        <w:t>2018届毕业生求职途径分布</w:t>
      </w:r>
    </w:p>
    <w:p>
      <w:pPr>
        <w:pStyle w:val="4"/>
      </w:pPr>
      <w:bookmarkStart w:id="4" w:name="_Toc534985149"/>
      <w:r>
        <w:rPr>
          <w:rFonts w:hint="eastAsia"/>
        </w:rPr>
        <w:t>（二）求职成本</w:t>
      </w:r>
      <w:bookmarkEnd w:id="4"/>
    </w:p>
    <w:p>
      <w:pPr>
        <w:ind w:firstLine="480" w:firstLineChars="200"/>
      </w:pPr>
      <w:r>
        <w:t>求职成本分布</w:t>
      </w:r>
      <w:r>
        <w:rPr>
          <w:rFonts w:hint="eastAsia"/>
        </w:rPr>
        <w:t>表明，</w:t>
      </w:r>
      <w:r>
        <w:t>毕业生的求职成本主要集中在2000元以下，比例达到78.37%，</w:t>
      </w:r>
      <w:r>
        <w:rPr>
          <w:rFonts w:hint="eastAsia"/>
        </w:rPr>
        <w:t>其次是2001-4000元的区间，占比为</w:t>
      </w:r>
      <w:r>
        <w:t>11.06</w:t>
      </w:r>
      <w:r>
        <w:rPr>
          <w:rFonts w:hint="eastAsia"/>
        </w:rPr>
        <w:t>%，4001-6000元的区间，占比为5.85%。</w:t>
      </w:r>
    </w:p>
    <w:p>
      <w:pPr>
        <w:keepNext/>
        <w:jc w:val="center"/>
      </w:pPr>
      <w:r>
        <w:drawing>
          <wp:inline distT="0" distB="0" distL="0" distR="0">
            <wp:extent cx="3629025" cy="2324100"/>
            <wp:effectExtent l="0" t="0" r="9525" b="0"/>
            <wp:docPr id="95" name="图表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15</w:t>
      </w:r>
      <w:r>
        <w:fldChar w:fldCharType="end"/>
      </w:r>
      <w:r>
        <w:rPr>
          <w:rFonts w:hint="eastAsia"/>
        </w:rPr>
        <w:t xml:space="preserve"> 2018届毕业生求职成本分布</w:t>
      </w:r>
    </w:p>
    <w:p>
      <w:pPr>
        <w:pStyle w:val="4"/>
      </w:pPr>
      <w:bookmarkStart w:id="5" w:name="_Toc534985150"/>
      <w:r>
        <w:rPr>
          <w:rFonts w:hint="eastAsia"/>
        </w:rPr>
        <w:t>（三）求职关注因素</w:t>
      </w:r>
      <w:bookmarkEnd w:id="5"/>
    </w:p>
    <w:p>
      <w:pPr>
        <w:ind w:firstLine="480" w:firstLineChars="200"/>
      </w:pPr>
      <w:r>
        <w:t>求职关注的主要因素分布</w:t>
      </w:r>
      <w:r>
        <w:rPr>
          <w:rFonts w:hint="eastAsia"/>
        </w:rPr>
        <w:t>表明，毕业生在求职过程中关注度最高的因素是“薪酬水平”，达到</w:t>
      </w:r>
      <w:r>
        <w:t>26.70</w:t>
      </w:r>
      <w:r>
        <w:rPr>
          <w:rFonts w:hint="eastAsia"/>
        </w:rPr>
        <w:t>%，其次是“发展空间”（</w:t>
      </w:r>
      <w:r>
        <w:t>16.06</w:t>
      </w:r>
      <w:r>
        <w:rPr>
          <w:rFonts w:hint="eastAsia"/>
        </w:rPr>
        <w:t>%）、“工作稳定度”（</w:t>
      </w:r>
      <w:r>
        <w:t>14.85</w:t>
      </w:r>
      <w:r>
        <w:rPr>
          <w:rFonts w:hint="eastAsia"/>
        </w:rPr>
        <w:t>%）和“社会保障”（</w:t>
      </w:r>
      <w:r>
        <w:t>12.79</w:t>
      </w:r>
      <w:r>
        <w:rPr>
          <w:rFonts w:hint="eastAsia"/>
        </w:rPr>
        <w:t>%）。</w:t>
      </w:r>
    </w:p>
    <w:p>
      <w:pPr>
        <w:keepNext/>
        <w:jc w:val="center"/>
      </w:pPr>
      <w:r>
        <w:drawing>
          <wp:inline distT="0" distB="0" distL="0" distR="0">
            <wp:extent cx="3983355" cy="2185670"/>
            <wp:effectExtent l="0" t="0" r="17145" b="5080"/>
            <wp:docPr id="96" name="图表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16</w:t>
      </w:r>
      <w:r>
        <w:fldChar w:fldCharType="end"/>
      </w:r>
      <w:r>
        <w:rPr>
          <w:rFonts w:hint="eastAsia"/>
        </w:rPr>
        <w:t xml:space="preserve"> 2018届毕业生求职关注的主要因素分布</w:t>
      </w:r>
    </w:p>
    <w:p>
      <w:pPr>
        <w:pStyle w:val="4"/>
      </w:pPr>
      <w:bookmarkStart w:id="6" w:name="_Toc534985151"/>
      <w:r>
        <w:rPr>
          <w:rFonts w:hint="eastAsia"/>
        </w:rPr>
        <w:t>（四）就业成功因素</w:t>
      </w:r>
      <w:bookmarkEnd w:id="6"/>
    </w:p>
    <w:p>
      <w:pPr>
        <w:ind w:firstLine="480" w:firstLineChars="200"/>
      </w:pPr>
      <w:r>
        <w:t>成功就业</w:t>
      </w:r>
      <w:r>
        <w:rPr>
          <w:rFonts w:hint="eastAsia"/>
        </w:rPr>
        <w:t>的</w:t>
      </w:r>
      <w:r>
        <w:t>关键因素分布</w:t>
      </w:r>
      <w:r>
        <w:rPr>
          <w:rFonts w:hint="eastAsia"/>
        </w:rPr>
        <w:t>表明，在已落实就业单位的毕业生中，</w:t>
      </w:r>
      <w:r>
        <w:t>19.82</w:t>
      </w:r>
      <w:r>
        <w:rPr>
          <w:rFonts w:hint="eastAsia"/>
        </w:rPr>
        <w:t>%的毕业生认同就业成功的关键因素是“学历”，其次分别是“个人素质”（</w:t>
      </w:r>
      <w:r>
        <w:t>18.76</w:t>
      </w:r>
      <w:r>
        <w:rPr>
          <w:rFonts w:hint="eastAsia"/>
        </w:rPr>
        <w:t>%）、“实践/工作经验”（1</w:t>
      </w:r>
      <w:r>
        <w:t>5.12</w:t>
      </w:r>
      <w:r>
        <w:rPr>
          <w:rFonts w:hint="eastAsia"/>
        </w:rPr>
        <w:t>%）、“专业背景”（10.18</w:t>
      </w:r>
      <w:r>
        <w:t>%</w:t>
      </w:r>
      <w:r>
        <w:rPr>
          <w:rFonts w:hint="eastAsia"/>
        </w:rPr>
        <w:t>），其中学历、个人素质、实践/工作经验三者所占比例较大，可见三者在就业过程中最被用人单位看重。</w:t>
      </w:r>
      <w:r>
        <w:t xml:space="preserve"> </w:t>
      </w:r>
    </w:p>
    <w:p>
      <w:pPr>
        <w:keepNext/>
        <w:jc w:val="center"/>
      </w:pPr>
      <w:r>
        <w:drawing>
          <wp:inline distT="0" distB="0" distL="0" distR="0">
            <wp:extent cx="3993515" cy="2217420"/>
            <wp:effectExtent l="0" t="0" r="6985" b="11430"/>
            <wp:docPr id="97" name="图表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17</w:t>
      </w:r>
      <w:r>
        <w:fldChar w:fldCharType="end"/>
      </w:r>
      <w:r>
        <w:rPr>
          <w:rFonts w:hint="eastAsia"/>
        </w:rPr>
        <w:t xml:space="preserve"> 2018届毕业生求职成功的关键因素分布</w:t>
      </w:r>
    </w:p>
    <w:p>
      <w:pPr>
        <w:pStyle w:val="4"/>
      </w:pPr>
      <w:bookmarkStart w:id="7" w:name="_Toc534985152"/>
      <w:r>
        <w:rPr>
          <w:rFonts w:hint="eastAsia"/>
        </w:rPr>
        <w:t>（五）求职困难原因</w:t>
      </w:r>
      <w:bookmarkEnd w:id="7"/>
    </w:p>
    <w:p>
      <w:pPr>
        <w:ind w:firstLine="480" w:firstLineChars="200"/>
        <w:rPr>
          <w:color w:val="FF000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求职困难原因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表明，在已落实就业单位的毕业生中，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24.48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%的毕业生认同求职困难的原因是“缺乏实践经验”，其次分别是“适合岗位不多”（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16.74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%）、“待遇条件不符合预期”（1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5.38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%）、“招聘信息渠道太少”（13.18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keepNext/>
        <w:jc w:val="center"/>
      </w:pPr>
      <w:r>
        <w:drawing>
          <wp:inline distT="0" distB="0" distL="0" distR="0">
            <wp:extent cx="5265420" cy="2070100"/>
            <wp:effectExtent l="0" t="0" r="11430" b="6350"/>
            <wp:docPr id="48" name="图表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18</w:t>
      </w:r>
      <w:r>
        <w:fldChar w:fldCharType="end"/>
      </w:r>
      <w:r>
        <w:t xml:space="preserve"> </w:t>
      </w:r>
      <w:r>
        <w:rPr>
          <w:rFonts w:hint="eastAsia"/>
        </w:rPr>
        <w:t>2018届毕业生求职遇到的困难</w:t>
      </w:r>
    </w:p>
    <w:p>
      <w:pPr>
        <w:pStyle w:val="3"/>
      </w:pPr>
      <w:bookmarkStart w:id="8" w:name="_Toc534985153"/>
      <w:r>
        <w:rPr>
          <w:rFonts w:hint="eastAsia"/>
        </w:rPr>
        <w:t>三、继续深造分析</w:t>
      </w:r>
      <w:bookmarkEnd w:id="8"/>
    </w:p>
    <w:p>
      <w:pPr>
        <w:ind w:firstLine="480" w:firstLineChars="200"/>
      </w:pPr>
      <w:r>
        <w:rPr>
          <w:rFonts w:hint="eastAsia"/>
        </w:rPr>
        <w:t>针对毕业生的继续深造分析，主要从深造类型、深造原因、深造专业一致性、深造地域和深造高校来进行分析。</w:t>
      </w:r>
    </w:p>
    <w:p>
      <w:pPr>
        <w:pStyle w:val="4"/>
      </w:pPr>
      <w:bookmarkStart w:id="9" w:name="_Toc534985154"/>
      <w:r>
        <w:rPr>
          <w:rFonts w:hint="eastAsia"/>
        </w:rPr>
        <w:t>（一）深造类型</w:t>
      </w:r>
      <w:bookmarkEnd w:id="9"/>
    </w:p>
    <w:p>
      <w:pPr>
        <w:ind w:firstLine="480" w:firstLineChars="200"/>
        <w:rPr>
          <w:color w:val="FF000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届毕业生共有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132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人国内升学深造，升学率为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9.08%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；出国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人，出国率为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0.41%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/>
        <w:jc w:val="center"/>
      </w:pPr>
      <w:r>
        <w:drawing>
          <wp:inline distT="0" distB="0" distL="0" distR="0">
            <wp:extent cx="3773170" cy="1859915"/>
            <wp:effectExtent l="0" t="0" r="17780" b="6985"/>
            <wp:docPr id="98" name="图表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19</w:t>
      </w:r>
      <w:r>
        <w:fldChar w:fldCharType="end"/>
      </w:r>
      <w:r>
        <w:t xml:space="preserve"> 2018</w:t>
      </w:r>
      <w:r>
        <w:rPr>
          <w:rFonts w:hint="eastAsia"/>
        </w:rPr>
        <w:t>届毕业生深造类型</w:t>
      </w:r>
    </w:p>
    <w:p>
      <w:pPr>
        <w:pStyle w:val="4"/>
      </w:pPr>
      <w:bookmarkStart w:id="10" w:name="_Toc534985155"/>
      <w:r>
        <w:rPr>
          <w:rFonts w:hint="eastAsia"/>
        </w:rPr>
        <w:t>（二）深造原因</w:t>
      </w:r>
      <w:bookmarkEnd w:id="10"/>
    </w:p>
    <w:p>
      <w:pPr>
        <w:ind w:firstLine="480" w:firstLineChars="200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届毕业生国内升学原因分布显示，</w:t>
      </w:r>
      <w:r>
        <w:t>毕业生</w:t>
      </w:r>
      <w:r>
        <w:rPr>
          <w:rFonts w:hint="eastAsia"/>
        </w:rPr>
        <w:t>选择国内升学最主要的原因是提升学历层次（</w:t>
      </w:r>
      <w:r>
        <w:t>46.32%</w:t>
      </w:r>
      <w:r>
        <w:rPr>
          <w:rFonts w:hint="eastAsia"/>
        </w:rPr>
        <w:t>），其次分别是对专业感兴趣，深入学习专业（</w:t>
      </w:r>
      <w:r>
        <w:t>20.00</w:t>
      </w:r>
      <w:r>
        <w:rPr>
          <w:rFonts w:hint="eastAsia"/>
        </w:rPr>
        <w:t>%）、提升综合能力（14.74%），增加择业资本，提升就业竞争力（14.74%）。</w:t>
      </w:r>
      <w:r>
        <w:t xml:space="preserve"> </w:t>
      </w:r>
    </w:p>
    <w:p>
      <w:pPr>
        <w:keepNext/>
        <w:jc w:val="center"/>
      </w:pPr>
      <w:r>
        <w:drawing>
          <wp:inline distT="0" distB="0" distL="0" distR="0">
            <wp:extent cx="4371975" cy="2352675"/>
            <wp:effectExtent l="0" t="0" r="9525" b="9525"/>
            <wp:docPr id="99" name="图表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20</w:t>
      </w:r>
      <w:r>
        <w:fldChar w:fldCharType="end"/>
      </w:r>
      <w:r>
        <w:rPr>
          <w:rFonts w:hint="eastAsia"/>
        </w:rPr>
        <w:t xml:space="preserve"> 2</w:t>
      </w:r>
      <w:r>
        <w:t>018</w:t>
      </w:r>
      <w:r>
        <w:rPr>
          <w:rFonts w:hint="eastAsia"/>
        </w:rPr>
        <w:t>届毕业生国内升学原因</w:t>
      </w:r>
    </w:p>
    <w:p>
      <w:pPr>
        <w:pStyle w:val="6"/>
        <w:jc w:val="center"/>
      </w:pPr>
    </w:p>
    <w:p>
      <w:pPr>
        <w:ind w:firstLine="480" w:firstLineChars="200"/>
      </w:pPr>
      <w:r>
        <w:rPr>
          <w:rFonts w:hint="eastAsia"/>
        </w:rPr>
        <w:t>毕业生出国原因分析表明，2</w:t>
      </w:r>
      <w:r>
        <w:t>018</w:t>
      </w:r>
      <w:r>
        <w:rPr>
          <w:rFonts w:hint="eastAsia"/>
        </w:rPr>
        <w:t>届毕业生出国原因中，排名前三的原因是：增长见识，了解他国文化（30.77%）、提升综合竞争力（30.77</w:t>
      </w:r>
      <w:r>
        <w:t>%</w:t>
      </w:r>
      <w:r>
        <w:rPr>
          <w:rFonts w:hint="eastAsia"/>
        </w:rPr>
        <w:t>）、教育条件及教育方式好（23.08%）。</w:t>
      </w:r>
    </w:p>
    <w:p>
      <w:pPr>
        <w:keepNext/>
        <w:jc w:val="center"/>
      </w:pPr>
      <w:r>
        <w:drawing>
          <wp:inline distT="0" distB="0" distL="0" distR="0">
            <wp:extent cx="4152900" cy="2257425"/>
            <wp:effectExtent l="0" t="0" r="0" b="9525"/>
            <wp:docPr id="100" name="图表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21</w:t>
      </w:r>
      <w:r>
        <w:fldChar w:fldCharType="end"/>
      </w:r>
      <w:r>
        <w:rPr>
          <w:rFonts w:hint="eastAsia"/>
        </w:rPr>
        <w:t xml:space="preserve"> 2018届毕业生出国原因分析</w:t>
      </w:r>
    </w:p>
    <w:p>
      <w:pPr>
        <w:pStyle w:val="6"/>
        <w:jc w:val="center"/>
      </w:pPr>
    </w:p>
    <w:p>
      <w:pPr>
        <w:pStyle w:val="4"/>
      </w:pPr>
      <w:bookmarkStart w:id="11" w:name="_Toc534985156"/>
      <w:r>
        <w:rPr>
          <w:rFonts w:hint="eastAsia"/>
        </w:rPr>
        <w:t>（三）专业一致性</w:t>
      </w:r>
      <w:bookmarkEnd w:id="11"/>
    </w:p>
    <w:p>
      <w:pPr>
        <w:ind w:firstLine="480" w:firstLineChars="200"/>
      </w:pPr>
      <w:r>
        <w:t>毕业生选择继续深造</w:t>
      </w:r>
      <w:r>
        <w:rPr>
          <w:rFonts w:hint="eastAsia"/>
        </w:rPr>
        <w:t>所读专业和目前所读专业一致性分布，</w:t>
      </w:r>
      <w:r>
        <w:t>毕业生</w:t>
      </w:r>
      <w:r>
        <w:rPr>
          <w:rFonts w:hint="eastAsia"/>
        </w:rPr>
        <w:t>所选专业与目前专业一致性较高，占比为</w:t>
      </w:r>
      <w:r>
        <w:t>74.08</w:t>
      </w:r>
      <w:r>
        <w:rPr>
          <w:rFonts w:hint="eastAsia"/>
        </w:rPr>
        <w:t>%；完全不一致的比例比较低，占比为8.33</w:t>
      </w:r>
      <w:r>
        <w:t>%</w:t>
      </w:r>
      <w:r>
        <w:rPr>
          <w:rFonts w:hint="eastAsia"/>
        </w:rPr>
        <w:t>。结合毕业生深造原因，说明毕业生对目前专业感兴趣，想深入学习，并且保持专业一致可以降低升学的难度。</w:t>
      </w:r>
    </w:p>
    <w:p>
      <w:pPr>
        <w:keepNext/>
        <w:jc w:val="center"/>
      </w:pPr>
      <w:r>
        <w:drawing>
          <wp:inline distT="0" distB="0" distL="0" distR="0">
            <wp:extent cx="4086225" cy="2209800"/>
            <wp:effectExtent l="0" t="0" r="9525" b="0"/>
            <wp:docPr id="101" name="图表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22</w:t>
      </w:r>
      <w:r>
        <w:fldChar w:fldCharType="end"/>
      </w:r>
      <w:r>
        <w:rPr>
          <w:rFonts w:hint="eastAsia"/>
        </w:rPr>
        <w:t xml:space="preserve"> 2018届</w:t>
      </w:r>
      <w:r>
        <w:t>毕业生继续深造</w:t>
      </w:r>
      <w:r>
        <w:rPr>
          <w:rFonts w:hint="eastAsia"/>
        </w:rPr>
        <w:t>专业和目前所读专业一致性分布</w:t>
      </w:r>
    </w:p>
    <w:p>
      <w:pPr>
        <w:pStyle w:val="6"/>
        <w:jc w:val="center"/>
      </w:pPr>
    </w:p>
    <w:p>
      <w:pPr>
        <w:pStyle w:val="4"/>
      </w:pPr>
      <w:bookmarkStart w:id="12" w:name="_Toc534985157"/>
      <w:r>
        <w:rPr>
          <w:rFonts w:hint="eastAsia"/>
        </w:rPr>
        <w:t>（四）深造地域分布</w:t>
      </w:r>
      <w:bookmarkEnd w:id="12"/>
    </w:p>
    <w:p>
      <w:pPr>
        <w:ind w:firstLine="480" w:firstLineChars="200"/>
        <w:rPr>
          <w:color w:val="FF000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届毕业生国内升学地区在湖南省的有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121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人，占比高达9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1.67%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，其次是广东省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人、福建省3人。</w:t>
      </w:r>
    </w:p>
    <w:p>
      <w:pPr>
        <w:pStyle w:val="6"/>
        <w:keepNext/>
        <w:jc w:val="center"/>
      </w:pPr>
      <w:r>
        <w:rPr>
          <w:rFonts w:hint="eastAsia"/>
        </w:rPr>
        <w:t>表3-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表3-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t xml:space="preserve"> 2018</w:t>
      </w:r>
      <w:r>
        <w:rPr>
          <w:rFonts w:hint="eastAsia"/>
        </w:rPr>
        <w:t>届毕业生国内升学地区分布</w:t>
      </w:r>
    </w:p>
    <w:tbl>
      <w:tblPr>
        <w:tblStyle w:val="10"/>
        <w:tblW w:w="82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764"/>
        <w:gridCol w:w="2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4" w:type="dxa"/>
            <w:tcBorders>
              <w:top w:val="single" w:color="74A1BB" w:sz="4" w:space="0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地域</w:t>
            </w:r>
          </w:p>
        </w:tc>
        <w:tc>
          <w:tcPr>
            <w:tcW w:w="2764" w:type="dxa"/>
            <w:tcBorders>
              <w:top w:val="single" w:color="74A1BB" w:sz="4" w:space="0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人数</w:t>
            </w:r>
          </w:p>
        </w:tc>
        <w:tc>
          <w:tcPr>
            <w:tcW w:w="2762" w:type="dxa"/>
            <w:tcBorders>
              <w:top w:val="single" w:color="74A1BB" w:sz="4" w:space="0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4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湖南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121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4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福建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2.27%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4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广东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2.27%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4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云南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4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四川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4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重庆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4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新疆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4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D9E1F2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总计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D9E1F2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132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100.00%</w:t>
            </w:r>
          </w:p>
        </w:tc>
      </w:tr>
    </w:tbl>
    <w:p>
      <w:pPr>
        <w:pStyle w:val="4"/>
      </w:pPr>
      <w:bookmarkStart w:id="13" w:name="_Toc534985158"/>
      <w:r>
        <w:rPr>
          <w:rFonts w:hint="eastAsia"/>
        </w:rPr>
        <w:t>（五）深造高校分布</w:t>
      </w:r>
      <w:bookmarkEnd w:id="13"/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国内升学毕业生主要深造高校为湘潭大学，人数为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86.36%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），其次人数为2人的高校有：湖南科技大学、长沙理工大学、中南林业科技大学和福建师范大学。</w:t>
      </w:r>
    </w:p>
    <w:p>
      <w:pPr>
        <w:pStyle w:val="6"/>
        <w:keepNext/>
        <w:jc w:val="center"/>
      </w:pPr>
      <w:r>
        <w:rPr>
          <w:rFonts w:hint="eastAsia"/>
        </w:rPr>
        <w:t>表3-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表3-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届毕业生升学主要高校</w:t>
      </w:r>
    </w:p>
    <w:tbl>
      <w:tblPr>
        <w:tblStyle w:val="10"/>
        <w:tblW w:w="82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1784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4722" w:type="dxa"/>
            <w:tcBorders>
              <w:top w:val="single" w:color="74A1BB" w:sz="4" w:space="0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学校名称</w:t>
            </w:r>
          </w:p>
        </w:tc>
        <w:tc>
          <w:tcPr>
            <w:tcW w:w="1784" w:type="dxa"/>
            <w:tcBorders>
              <w:top w:val="single" w:color="74A1BB" w:sz="4" w:space="0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人数</w:t>
            </w:r>
          </w:p>
        </w:tc>
        <w:tc>
          <w:tcPr>
            <w:tcW w:w="1784" w:type="dxa"/>
            <w:tcBorders>
              <w:top w:val="single" w:color="74A1BB" w:sz="4" w:space="0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湘潭大学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114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86.36%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湖南科技大学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长沙理工大学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中南林业科技大学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福建师范大学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广东工业大学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广东药科大学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湖南师范大学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华南师范大学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华侨大学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昆明理工大学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西南石油大学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西南政法大学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伊犁师范学院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96C7CB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云南大学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22" w:type="dxa"/>
            <w:tcBorders>
              <w:top w:val="nil"/>
              <w:left w:val="single" w:color="74A1BB" w:sz="4" w:space="0"/>
              <w:bottom w:val="single" w:color="74A1BB" w:sz="4" w:space="0"/>
              <w:right w:val="single" w:color="74A1BB" w:sz="4" w:space="0"/>
            </w:tcBorders>
            <w:shd w:val="clear" w:color="D9E1F2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总计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D9E1F2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132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74A1BB" w:sz="4" w:space="0"/>
              <w:right w:val="single" w:color="74A1BB" w:sz="4" w:space="0"/>
            </w:tcBorders>
            <w:shd w:val="clear" w:color="000000" w:fill="007686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18"/>
                <w:szCs w:val="18"/>
              </w:rPr>
              <w:t>100.00%</w:t>
            </w:r>
          </w:p>
        </w:tc>
      </w:tr>
    </w:tbl>
    <w:p>
      <w:pPr>
        <w:pStyle w:val="3"/>
      </w:pPr>
      <w:bookmarkStart w:id="14" w:name="_Toc534985159"/>
      <w:r>
        <w:rPr>
          <w:rFonts w:hint="eastAsia"/>
        </w:rPr>
        <w:t>四、自主创业分析</w:t>
      </w:r>
      <w:bookmarkEnd w:id="14"/>
    </w:p>
    <w:p>
      <w:pPr>
        <w:pStyle w:val="4"/>
      </w:pPr>
      <w:bookmarkStart w:id="15" w:name="_Toc534985160"/>
      <w:r>
        <w:rPr>
          <w:rFonts w:hint="eastAsia"/>
        </w:rPr>
        <w:t>（一）创业原因</w:t>
      </w:r>
      <w:bookmarkEnd w:id="15"/>
    </w:p>
    <w:p>
      <w:pPr>
        <w:ind w:firstLine="480" w:firstLineChars="200"/>
      </w:pPr>
      <w:r>
        <w:rPr>
          <w:rFonts w:hint="eastAsia"/>
        </w:rPr>
        <w:t>毕业生自主创业原因显示，自主创业的主要原因是为了实现个人理想及价值，占比高达43.75</w:t>
      </w:r>
      <w:r>
        <w:t>%</w:t>
      </w:r>
      <w:r>
        <w:rPr>
          <w:rFonts w:hint="eastAsia"/>
        </w:rPr>
        <w:t>，其次是有好的创业项目（37.50</w:t>
      </w:r>
      <w:r>
        <w:t>%</w:t>
      </w:r>
      <w:r>
        <w:rPr>
          <w:rFonts w:hint="eastAsia"/>
        </w:rPr>
        <w:t>）、受他人邀请创业（12.50</w:t>
      </w:r>
      <w:r>
        <w:t>%</w:t>
      </w:r>
      <w:r>
        <w:rPr>
          <w:rFonts w:hint="eastAsia"/>
        </w:rPr>
        <w:t>）。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648075" cy="1746250"/>
            <wp:effectExtent l="0" t="0" r="9525" b="635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104" cy="17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23</w:t>
      </w:r>
      <w:r>
        <w:fldChar w:fldCharType="end"/>
      </w:r>
      <w:r>
        <w:rPr>
          <w:rFonts w:hint="eastAsia"/>
        </w:rPr>
        <w:t xml:space="preserve"> 2018届毕业生创业原因</w:t>
      </w:r>
    </w:p>
    <w:p>
      <w:pPr>
        <w:pStyle w:val="4"/>
      </w:pPr>
      <w:bookmarkStart w:id="16" w:name="_Toc534985161"/>
      <w:r>
        <w:rPr>
          <w:rFonts w:hint="eastAsia"/>
        </w:rPr>
        <w:t>（二）创业资金来源</w:t>
      </w:r>
      <w:bookmarkEnd w:id="16"/>
    </w:p>
    <w:p>
      <w:pPr>
        <w:ind w:firstLine="480" w:firstLineChars="200"/>
      </w:pPr>
      <w:r>
        <w:t>毕业生</w:t>
      </w:r>
      <w:r>
        <w:rPr>
          <w:rFonts w:hint="eastAsia"/>
        </w:rPr>
        <w:t>自主创业的资金来源分布显示，毕业生自主创业的最主要资金来源于父母资助（</w:t>
      </w:r>
      <w:r>
        <w:t>43.75</w:t>
      </w:r>
      <w:r>
        <w:rPr>
          <w:rFonts w:hint="eastAsia"/>
        </w:rPr>
        <w:t>%），家庭支持对毕业生自主创业在资金提供方面发挥了非常重要的作用；其次是大学生创业贷款占比18.75</w:t>
      </w:r>
      <w:r>
        <w:t>%</w:t>
      </w:r>
      <w:r>
        <w:rPr>
          <w:rFonts w:hint="eastAsia"/>
        </w:rPr>
        <w:t>，可见国家是鼓励和支持毕业生自主创业的；不过创业扶持基金和风险投资，分别占比为</w:t>
      </w:r>
      <w:r>
        <w:t>6.25%</w:t>
      </w:r>
      <w:r>
        <w:rPr>
          <w:rFonts w:hint="eastAsia"/>
        </w:rPr>
        <w:t>、</w:t>
      </w:r>
      <w:r>
        <w:t>6.25%</w:t>
      </w:r>
      <w:r>
        <w:rPr>
          <w:rFonts w:hint="eastAsia"/>
        </w:rPr>
        <w:t>，比例较小，可见毕业生创业项目受资本市场的青睐程度较低。</w:t>
      </w:r>
      <w:r>
        <w:t xml:space="preserve"> </w:t>
      </w:r>
    </w:p>
    <w:p>
      <w:pPr>
        <w:keepNext/>
        <w:jc w:val="center"/>
      </w:pPr>
      <w:r>
        <w:drawing>
          <wp:inline distT="0" distB="0" distL="0" distR="0">
            <wp:extent cx="3819525" cy="2257425"/>
            <wp:effectExtent l="0" t="0" r="9525" b="9525"/>
            <wp:docPr id="103" name="图表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24</w:t>
      </w:r>
      <w:r>
        <w:fldChar w:fldCharType="end"/>
      </w:r>
      <w:r>
        <w:rPr>
          <w:rFonts w:hint="eastAsia"/>
        </w:rPr>
        <w:t xml:space="preserve"> 2018届毕业生自主创业的资金来源分布</w:t>
      </w:r>
    </w:p>
    <w:p>
      <w:pPr>
        <w:pStyle w:val="4"/>
      </w:pPr>
      <w:bookmarkStart w:id="17" w:name="_Toc534985162"/>
      <w:r>
        <w:t>（</w:t>
      </w:r>
      <w:r>
        <w:rPr>
          <w:rFonts w:hint="eastAsia"/>
        </w:rPr>
        <w:t>三</w:t>
      </w:r>
      <w:r>
        <w:t>）</w:t>
      </w:r>
      <w:r>
        <w:rPr>
          <w:rFonts w:hint="eastAsia"/>
        </w:rPr>
        <w:t>创业困难</w:t>
      </w:r>
      <w:bookmarkEnd w:id="17"/>
    </w:p>
    <w:p>
      <w:pPr>
        <w:pStyle w:val="6"/>
        <w:ind w:firstLine="480" w:firstLineChars="200"/>
        <w:rPr>
          <w:rFonts w:asciiTheme="minorHAnsi" w:hAnsiTheme="minorHAnsi" w:eastAsiaTheme="minorEastAsia" w:cstheme="minorBidi"/>
          <w:sz w:val="24"/>
          <w:szCs w:val="22"/>
        </w:rPr>
      </w:pPr>
      <w:r>
        <w:rPr>
          <w:rFonts w:hint="eastAsia" w:asciiTheme="minorHAnsi" w:hAnsiTheme="minorHAnsi" w:eastAsiaTheme="minorEastAsia" w:cstheme="minorBidi"/>
          <w:sz w:val="24"/>
          <w:szCs w:val="22"/>
        </w:rPr>
        <w:t>毕业生创业困难分析标明，产品服务的营销推广（23.68</w:t>
      </w:r>
      <w:r>
        <w:rPr>
          <w:rFonts w:asciiTheme="minorHAnsi" w:hAnsiTheme="minorHAnsi" w:eastAsiaTheme="minorEastAsia" w:cstheme="minorBidi"/>
          <w:sz w:val="24"/>
          <w:szCs w:val="22"/>
        </w:rPr>
        <w:t>%</w:t>
      </w:r>
      <w:r>
        <w:rPr>
          <w:rFonts w:hint="eastAsia" w:asciiTheme="minorHAnsi" w:hAnsiTheme="minorHAnsi" w:eastAsiaTheme="minorEastAsia" w:cstheme="minorBidi"/>
          <w:sz w:val="24"/>
          <w:szCs w:val="22"/>
        </w:rPr>
        <w:t>）所占比例最大，创业团队组建（23.68</w:t>
      </w:r>
      <w:r>
        <w:rPr>
          <w:rFonts w:asciiTheme="minorHAnsi" w:hAnsiTheme="minorHAnsi" w:eastAsiaTheme="minorEastAsia" w:cstheme="minorBidi"/>
          <w:sz w:val="24"/>
          <w:szCs w:val="22"/>
        </w:rPr>
        <w:t>%</w:t>
      </w:r>
      <w:r>
        <w:rPr>
          <w:rFonts w:hint="eastAsia" w:asciiTheme="minorHAnsi" w:hAnsiTheme="minorHAnsi" w:eastAsiaTheme="minorEastAsia" w:cstheme="minorBidi"/>
          <w:sz w:val="24"/>
          <w:szCs w:val="22"/>
        </w:rPr>
        <w:t>），资金储备困难（21.05</w:t>
      </w:r>
      <w:r>
        <w:rPr>
          <w:rFonts w:asciiTheme="minorHAnsi" w:hAnsiTheme="minorHAnsi" w:eastAsiaTheme="minorEastAsia" w:cstheme="minorBidi"/>
          <w:sz w:val="24"/>
          <w:szCs w:val="22"/>
        </w:rPr>
        <w:t>%</w:t>
      </w:r>
      <w:r>
        <w:rPr>
          <w:rFonts w:hint="eastAsia" w:asciiTheme="minorHAnsi" w:hAnsiTheme="minorHAnsi" w:eastAsiaTheme="minorEastAsia" w:cstheme="minorBidi"/>
          <w:sz w:val="24"/>
          <w:szCs w:val="22"/>
        </w:rPr>
        <w:t>），社会关系缺乏（13.16</w:t>
      </w:r>
      <w:r>
        <w:rPr>
          <w:rFonts w:asciiTheme="minorHAnsi" w:hAnsiTheme="minorHAnsi" w:eastAsiaTheme="minorEastAsia" w:cstheme="minorBidi"/>
          <w:sz w:val="24"/>
          <w:szCs w:val="22"/>
        </w:rPr>
        <w:t>%</w:t>
      </w:r>
      <w:r>
        <w:rPr>
          <w:rFonts w:hint="eastAsia" w:asciiTheme="minorHAnsi" w:hAnsiTheme="minorHAnsi" w:eastAsiaTheme="minorEastAsia" w:cstheme="minorBidi"/>
          <w:sz w:val="24"/>
          <w:szCs w:val="22"/>
        </w:rPr>
        <w:t>）。</w:t>
      </w:r>
    </w:p>
    <w:p>
      <w:pPr>
        <w:keepNext/>
        <w:jc w:val="center"/>
      </w:pPr>
      <w:r>
        <w:drawing>
          <wp:inline distT="0" distB="0" distL="0" distR="0">
            <wp:extent cx="4295775" cy="2648585"/>
            <wp:effectExtent l="0" t="0" r="9525" b="18415"/>
            <wp:docPr id="104" name="图表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25</w:t>
      </w:r>
      <w:r>
        <w:fldChar w:fldCharType="end"/>
      </w:r>
      <w:r>
        <w:rPr>
          <w:rFonts w:hint="eastAsia"/>
        </w:rPr>
        <w:t xml:space="preserve"> 2018届毕业生创业困难分析</w:t>
      </w:r>
    </w:p>
    <w:p>
      <w:pPr>
        <w:pStyle w:val="4"/>
      </w:pPr>
      <w:bookmarkStart w:id="18" w:name="_Toc534985163"/>
      <w:r>
        <w:rPr>
          <w:rFonts w:hint="eastAsia"/>
        </w:rPr>
        <w:t>（四）创业准备</w:t>
      </w:r>
      <w:bookmarkEnd w:id="18"/>
    </w:p>
    <w:p>
      <w:pPr>
        <w:ind w:firstLine="480" w:firstLineChars="200"/>
      </w:pPr>
      <w:r>
        <w:t>毕业生</w:t>
      </w:r>
      <w:r>
        <w:rPr>
          <w:rFonts w:hint="eastAsia"/>
        </w:rPr>
        <w:t>自主创业的知识储备分析表明，30.56%的毕业生表示向成功创业者学习，其次是多和朋友沟通，整合身边资源（</w:t>
      </w:r>
      <w:r>
        <w:t>25.00</w:t>
      </w:r>
      <w:r>
        <w:rPr>
          <w:rFonts w:hint="eastAsia"/>
        </w:rPr>
        <w:t>%），19.44%的毕业生希望在自主创业前到社会中历练。</w:t>
      </w:r>
    </w:p>
    <w:p>
      <w:pPr>
        <w:keepNext/>
        <w:jc w:val="center"/>
      </w:pPr>
      <w:r>
        <w:drawing>
          <wp:inline distT="0" distB="0" distL="0" distR="0">
            <wp:extent cx="4438650" cy="2667000"/>
            <wp:effectExtent l="0" t="0" r="0" b="0"/>
            <wp:docPr id="105" name="图表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26</w:t>
      </w:r>
      <w:r>
        <w:fldChar w:fldCharType="end"/>
      </w:r>
      <w:r>
        <w:rPr>
          <w:rFonts w:hint="eastAsia"/>
        </w:rPr>
        <w:t xml:space="preserve"> 2018届毕业生自主创业的知识储备分布</w:t>
      </w:r>
    </w:p>
    <w:p>
      <w:pPr>
        <w:ind w:firstLine="480" w:firstLineChars="200"/>
      </w:pPr>
      <w:r>
        <w:t>毕业生</w:t>
      </w:r>
      <w:r>
        <w:rPr>
          <w:rFonts w:hint="eastAsia"/>
        </w:rPr>
        <w:t>自主创业的能力储备分布表明，</w:t>
      </w:r>
      <w:r>
        <w:t>27.03</w:t>
      </w:r>
      <w:r>
        <w:rPr>
          <w:rFonts w:hint="eastAsia"/>
        </w:rPr>
        <w:t>%的毕业生认为管理领导能力最重要，其次分别是持续学习能力（18.92%）、沟通协调与社会关系能力（</w:t>
      </w:r>
      <w:r>
        <w:t>18.92</w:t>
      </w:r>
      <w:r>
        <w:rPr>
          <w:rFonts w:hint="eastAsia"/>
        </w:rPr>
        <w:t>%）、专业基础知识（</w:t>
      </w:r>
      <w:r>
        <w:t>16.22</w:t>
      </w:r>
      <w:r>
        <w:rPr>
          <w:rFonts w:hint="eastAsia"/>
        </w:rPr>
        <w:t>%）。</w:t>
      </w:r>
    </w:p>
    <w:p>
      <w:pPr>
        <w:keepNext/>
        <w:jc w:val="center"/>
      </w:pPr>
      <w:r>
        <w:drawing>
          <wp:inline distT="0" distB="0" distL="0" distR="0">
            <wp:extent cx="4676775" cy="1943100"/>
            <wp:effectExtent l="0" t="0" r="9525" b="0"/>
            <wp:docPr id="106" name="图表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27</w:t>
      </w:r>
      <w:r>
        <w:fldChar w:fldCharType="end"/>
      </w:r>
      <w:r>
        <w:rPr>
          <w:rFonts w:hint="eastAsia"/>
        </w:rPr>
        <w:t xml:space="preserve"> 2018届毕业生自主创业的能力储备分布</w:t>
      </w:r>
    </w:p>
    <w:p>
      <w:pPr>
        <w:pStyle w:val="4"/>
      </w:pPr>
      <w:bookmarkStart w:id="19" w:name="_Toc534985164"/>
      <w:r>
        <w:rPr>
          <w:rFonts w:hint="eastAsia"/>
        </w:rPr>
        <w:t>（五）创业家人支持度</w:t>
      </w:r>
      <w:bookmarkEnd w:id="19"/>
    </w:p>
    <w:p>
      <w:pPr>
        <w:ind w:firstLine="480" w:firstLineChars="200"/>
      </w:pPr>
      <w:r>
        <w:rPr>
          <w:rFonts w:hint="eastAsia"/>
        </w:rPr>
        <w:t>家人对毕业生创业的支持情况分布表明，37.50%的家人非常支持毕业生自主创业勉强支持的比例也达到了37.50%，持中立态度的占25.00%，可见75.00%的家人都比较支持毕业生创业。</w:t>
      </w:r>
    </w:p>
    <w:p>
      <w:pPr>
        <w:keepNext/>
        <w:jc w:val="center"/>
      </w:pPr>
      <w:r>
        <w:drawing>
          <wp:inline distT="0" distB="0" distL="0" distR="0">
            <wp:extent cx="3305175" cy="1733550"/>
            <wp:effectExtent l="0" t="0" r="0" b="0"/>
            <wp:docPr id="107" name="图表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28</w:t>
      </w:r>
      <w:r>
        <w:fldChar w:fldCharType="end"/>
      </w:r>
      <w:r>
        <w:rPr>
          <w:rFonts w:hint="eastAsia"/>
        </w:rPr>
        <w:t xml:space="preserve"> 2018届毕业生家人对毕业生自主创业的支持情况分布</w:t>
      </w:r>
    </w:p>
    <w:p>
      <w:pPr>
        <w:pStyle w:val="3"/>
      </w:pPr>
      <w:bookmarkStart w:id="20" w:name="_Toc534985165"/>
      <w:r>
        <w:rPr>
          <w:rFonts w:hint="eastAsia"/>
        </w:rPr>
        <w:t>五、未就业分析</w:t>
      </w:r>
      <w:bookmarkEnd w:id="20"/>
    </w:p>
    <w:p>
      <w:pPr>
        <w:pStyle w:val="4"/>
      </w:pPr>
      <w:bookmarkStart w:id="21" w:name="_Toc534985166"/>
      <w:r>
        <w:rPr>
          <w:rFonts w:hint="eastAsia"/>
        </w:rPr>
        <w:t>（一）未就业原因</w:t>
      </w:r>
      <w:bookmarkEnd w:id="21"/>
    </w:p>
    <w:p>
      <w:pPr>
        <w:ind w:firstLine="480" w:firstLineChars="200"/>
      </w:pPr>
      <w:r>
        <w:rPr>
          <w:rFonts w:hint="eastAsia"/>
        </w:rPr>
        <w:t>未就业原因分析中，正在择业尚未落实就业单位的占比为53.15%，在准备公务员、事业单位招考的占比23.01%，15.62%的毕业生在等待单位签约。</w:t>
      </w:r>
    </w:p>
    <w:p>
      <w:pPr>
        <w:keepNext/>
        <w:jc w:val="center"/>
      </w:pPr>
      <w:r>
        <w:drawing>
          <wp:inline distT="0" distB="0" distL="0" distR="0">
            <wp:extent cx="4594225" cy="2200275"/>
            <wp:effectExtent l="0" t="0" r="15875" b="9525"/>
            <wp:docPr id="108" name="图表 1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29</w:t>
      </w:r>
      <w:r>
        <w:fldChar w:fldCharType="end"/>
      </w:r>
      <w:r>
        <w:rPr>
          <w:rFonts w:hint="eastAsia"/>
        </w:rPr>
        <w:t xml:space="preserve"> 2018届毕业生未就业原因分析</w:t>
      </w:r>
    </w:p>
    <w:p>
      <w:pPr>
        <w:pStyle w:val="4"/>
      </w:pPr>
      <w:bookmarkStart w:id="22" w:name="_Toc534985167"/>
      <w:r>
        <w:rPr>
          <w:rFonts w:hint="eastAsia"/>
        </w:rPr>
        <w:t>（二）择业意向</w:t>
      </w:r>
      <w:bookmarkEnd w:id="22"/>
    </w:p>
    <w:p>
      <w:pPr>
        <w:ind w:firstLine="480" w:firstLineChars="200"/>
      </w:pPr>
      <w:r>
        <w:rPr>
          <w:rFonts w:hint="eastAsia"/>
        </w:rPr>
        <w:t>择业意向单位分析表明，意向单位排名前三的为国有企业（31.50%）、其他事业单位（23.84%）、政府机关（15.34%）。从中可以看出，工作的相对稳定性在2018届毕业生中具有非常大的吸引力。</w:t>
      </w:r>
    </w:p>
    <w:p>
      <w:pPr>
        <w:keepNext/>
        <w:jc w:val="center"/>
      </w:pPr>
      <w:r>
        <w:drawing>
          <wp:inline distT="0" distB="0" distL="0" distR="0">
            <wp:extent cx="4320540" cy="2350770"/>
            <wp:effectExtent l="0" t="0" r="3810" b="11430"/>
            <wp:docPr id="109" name="图表 1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 xml:space="preserve">图3-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30</w:t>
      </w:r>
      <w:r>
        <w:fldChar w:fldCharType="end"/>
      </w:r>
      <w:r>
        <w:t xml:space="preserve"> </w:t>
      </w:r>
      <w:r>
        <w:rPr>
          <w:rFonts w:hint="eastAsia"/>
        </w:rPr>
        <w:t>2018届毕业生择业意向单位</w:t>
      </w:r>
    </w:p>
    <w:p>
      <w:pPr>
        <w:pStyle w:val="4"/>
      </w:pPr>
      <w:bookmarkStart w:id="23" w:name="_Toc534985168"/>
      <w:r>
        <w:t>（</w:t>
      </w:r>
      <w:r>
        <w:rPr>
          <w:rFonts w:hint="eastAsia"/>
        </w:rPr>
        <w:t>三</w:t>
      </w:r>
      <w:r>
        <w:t>）</w:t>
      </w:r>
      <w:r>
        <w:rPr>
          <w:rFonts w:hint="eastAsia"/>
        </w:rPr>
        <w:t>就业诉求</w:t>
      </w:r>
      <w:bookmarkEnd w:id="23"/>
      <w:r>
        <w:t xml:space="preserve"> </w:t>
      </w:r>
    </w:p>
    <w:p>
      <w:pPr>
        <w:ind w:firstLine="480" w:firstLineChars="200"/>
      </w:pPr>
      <w:r>
        <w:rPr>
          <w:rFonts w:hint="eastAsia"/>
        </w:rPr>
        <w:t>未就业毕业生需要母校提供的协助分析中28.89%的毕业生需要母校提供求职技能培训，其次为增加职位信息（25.83%）、政策帮扶（15.80%）和求职补贴（15.09%）。</w:t>
      </w:r>
    </w:p>
    <w:p>
      <w:pPr>
        <w:keepNext/>
        <w:jc w:val="center"/>
      </w:pPr>
      <w:r>
        <w:drawing>
          <wp:inline distT="0" distB="0" distL="0" distR="0">
            <wp:extent cx="3562350" cy="2466975"/>
            <wp:effectExtent l="0" t="0" r="0" b="9525"/>
            <wp:docPr id="110" name="图表 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图3- \* ARABIC</w:instrText>
      </w:r>
      <w:r>
        <w:instrText xml:space="preserve"> </w:instrText>
      </w:r>
      <w:r>
        <w:fldChar w:fldCharType="separate"/>
      </w:r>
      <w:r>
        <w:t>31</w:t>
      </w:r>
      <w:r>
        <w:fldChar w:fldCharType="end"/>
      </w:r>
      <w:r>
        <w:rPr>
          <w:rFonts w:hint="eastAsia"/>
        </w:rPr>
        <w:t xml:space="preserve"> 2018届毕业生需要母校提供的协助</w:t>
      </w:r>
    </w:p>
    <w:p/>
    <w:p/>
    <w:p>
      <w:pPr>
        <w:sectPr>
          <w:pgSz w:w="11900" w:h="1682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>
      <w:pPr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24" w:name="_Toc498332384"/>
      <w:bookmarkStart w:id="25" w:name="_Toc498922048"/>
      <w:bookmarkStart w:id="26" w:name="_Toc499049878"/>
      <w:bookmarkStart w:id="27" w:name="_Toc498332177"/>
      <w:bookmarkStart w:id="28" w:name="_Toc499129860"/>
    </w:p>
    <w:p>
      <w:pPr>
        <w:pStyle w:val="2"/>
        <w:rPr>
          <w:sz w:val="40"/>
        </w:rPr>
      </w:pPr>
      <w:bookmarkStart w:id="29" w:name="_Toc5348"/>
      <w:bookmarkStart w:id="30" w:name="_Toc18242"/>
      <w:bookmarkStart w:id="31" w:name="_Toc32707"/>
      <w:bookmarkStart w:id="32" w:name="_Toc24516"/>
      <w:bookmarkStart w:id="33" w:name="_Toc32193"/>
      <w:bookmarkStart w:id="34" w:name="_Toc22459"/>
      <w:bookmarkStart w:id="35" w:name="_Toc25426"/>
      <w:bookmarkStart w:id="36" w:name="_Toc2417"/>
      <w:bookmarkStart w:id="37" w:name="_Toc2790"/>
      <w:bookmarkStart w:id="38" w:name="_Toc21998"/>
      <w:bookmarkStart w:id="39" w:name="_Toc2776"/>
      <w:bookmarkStart w:id="40" w:name="_Toc14019"/>
      <w:bookmarkStart w:id="41" w:name="_Toc27944"/>
      <w:bookmarkStart w:id="42" w:name="_Toc26102"/>
      <w:bookmarkStart w:id="43" w:name="_Toc26513"/>
      <w:bookmarkStart w:id="44" w:name="_Toc534985169"/>
      <w:r>
        <w:rPr>
          <w:rFonts w:hint="eastAsia"/>
          <w:sz w:val="40"/>
        </w:rPr>
        <w:t xml:space="preserve">第四部分 </w:t>
      </w:r>
      <w:r>
        <w:rPr>
          <w:sz w:val="40"/>
        </w:rPr>
        <w:t xml:space="preserve"> </w:t>
      </w:r>
      <w:r>
        <w:rPr>
          <w:rFonts w:hint="eastAsia"/>
          <w:sz w:val="40"/>
        </w:rPr>
        <w:t>201</w:t>
      </w:r>
      <w:r>
        <w:rPr>
          <w:sz w:val="40"/>
        </w:rPr>
        <w:t>6</w:t>
      </w:r>
      <w:r>
        <w:rPr>
          <w:rFonts w:hint="eastAsia"/>
          <w:sz w:val="40"/>
        </w:rPr>
        <w:t>-201</w:t>
      </w:r>
      <w:r>
        <w:rPr>
          <w:sz w:val="40"/>
        </w:rPr>
        <w:t>8</w:t>
      </w:r>
      <w:r>
        <w:rPr>
          <w:rFonts w:hint="eastAsia"/>
          <w:sz w:val="40"/>
        </w:rPr>
        <w:t>届毕业生就业趋势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hint="eastAsia"/>
          <w:sz w:val="40"/>
        </w:rPr>
        <w:t>分析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Start w:id="45" w:name="_Toc498332385"/>
      <w:bookmarkStart w:id="46" w:name="_Toc498332178"/>
      <w:bookmarkStart w:id="47" w:name="_Toc499049879"/>
      <w:bookmarkStart w:id="48" w:name="_Toc499129861"/>
      <w:bookmarkStart w:id="49" w:name="_Toc498922049"/>
    </w:p>
    <w:p>
      <w:pPr>
        <w:ind w:firstLine="480" w:firstLineChars="200"/>
      </w:pPr>
      <w:bookmarkStart w:id="50" w:name="_Toc27982"/>
      <w:r>
        <w:rPr>
          <w:rFonts w:hint="eastAsia"/>
        </w:rPr>
        <w:t>201</w:t>
      </w:r>
      <w:r>
        <w:t>6</w:t>
      </w:r>
      <w:r>
        <w:rPr>
          <w:rFonts w:hint="eastAsia"/>
        </w:rPr>
        <w:t>-201</w:t>
      </w:r>
      <w:r>
        <w:t>8</w:t>
      </w:r>
      <w:r>
        <w:rPr>
          <w:rFonts w:hint="eastAsia"/>
        </w:rPr>
        <w:t>届毕业生的就业变化趋势从以下四个方面来展开：一是就业率变化趋势；二是专业相关度变化趋势；三是国内升学比例趋势；四是在湘就业毕业生比例变化趋势。</w:t>
      </w:r>
      <w:bookmarkEnd w:id="50"/>
    </w:p>
    <w:p>
      <w:pPr>
        <w:pStyle w:val="3"/>
      </w:pPr>
      <w:bookmarkStart w:id="51" w:name="_Toc14430"/>
      <w:bookmarkStart w:id="52" w:name="_Toc16727"/>
      <w:bookmarkStart w:id="53" w:name="_Toc18593"/>
      <w:bookmarkStart w:id="54" w:name="_Toc10521"/>
      <w:bookmarkStart w:id="55" w:name="_Toc6993"/>
      <w:bookmarkStart w:id="56" w:name="_Toc23499"/>
      <w:bookmarkStart w:id="57" w:name="_Toc1418"/>
      <w:bookmarkStart w:id="58" w:name="_Toc23621"/>
      <w:bookmarkStart w:id="59" w:name="_Toc2670"/>
      <w:bookmarkStart w:id="60" w:name="_Toc14274"/>
      <w:bookmarkStart w:id="61" w:name="_Toc12474"/>
      <w:bookmarkStart w:id="62" w:name="_Toc1608"/>
      <w:bookmarkStart w:id="63" w:name="_Toc534985170"/>
      <w:r>
        <w:rPr>
          <w:rFonts w:hint="eastAsia"/>
        </w:rPr>
        <w:t>一、就业率</w:t>
      </w:r>
      <w:bookmarkEnd w:id="45"/>
      <w:bookmarkEnd w:id="46"/>
      <w:r>
        <w:rPr>
          <w:rFonts w:hint="eastAsia"/>
        </w:rPr>
        <w:t>变化趋势</w:t>
      </w:r>
      <w:bookmarkEnd w:id="47"/>
      <w:bookmarkEnd w:id="48"/>
      <w:bookmarkEnd w:id="49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rFonts w:hint="eastAsia"/>
        </w:rPr>
        <w:tab/>
      </w:r>
    </w:p>
    <w:p>
      <w:pPr>
        <w:ind w:firstLine="480" w:firstLineChars="200"/>
        <w:rPr>
          <w:rFonts w:cs="MS Mincho"/>
        </w:rPr>
      </w:pPr>
      <w:r>
        <w:rPr>
          <w:rFonts w:hint="eastAsia"/>
        </w:rPr>
        <w:t>从</w:t>
      </w:r>
      <w:r>
        <w:rPr>
          <w:rFonts w:cs="MS Mincho"/>
        </w:rPr>
        <w:t>近</w:t>
      </w:r>
      <w:r>
        <w:rPr>
          <w:rFonts w:hint="eastAsia"/>
        </w:rPr>
        <w:t>三届趋势来看，兴湘学院201</w:t>
      </w:r>
      <w:r>
        <w:t>8</w:t>
      </w:r>
      <w:r>
        <w:rPr>
          <w:rFonts w:hint="eastAsia"/>
        </w:rPr>
        <w:t>届毕业生就业率有所回升，相比于201</w:t>
      </w:r>
      <w:r>
        <w:t>7</w:t>
      </w:r>
      <w:r>
        <w:rPr>
          <w:rFonts w:hint="eastAsia"/>
        </w:rPr>
        <w:t>届（8</w:t>
      </w:r>
      <w:r>
        <w:t>5.21%</w:t>
      </w:r>
      <w:r>
        <w:rPr>
          <w:rFonts w:hint="eastAsia"/>
        </w:rPr>
        <w:t>），2</w:t>
      </w:r>
      <w:r>
        <w:t>018</w:t>
      </w:r>
      <w:r>
        <w:rPr>
          <w:rFonts w:hint="eastAsia"/>
        </w:rPr>
        <w:t>届（8</w:t>
      </w:r>
      <w:r>
        <w:t>8.85%</w:t>
      </w:r>
      <w:r>
        <w:rPr>
          <w:rFonts w:hint="eastAsia"/>
        </w:rPr>
        <w:t>）上升了3</w:t>
      </w:r>
      <w:r>
        <w:t>.64%</w:t>
      </w:r>
      <w:r>
        <w:rPr>
          <w:rFonts w:hint="eastAsia" w:cs="MS Mincho"/>
        </w:rPr>
        <w:t>。学院在接下来的毕业生就业工工作中，需要进一步改进毕业生就业工作的思路和方法，不断创新，进一步提升毕业生的就业率和就业质量。</w:t>
      </w:r>
    </w:p>
    <w:p>
      <w:pPr>
        <w:keepNext/>
        <w:jc w:val="center"/>
      </w:pPr>
      <w:r>
        <w:drawing>
          <wp:inline distT="0" distB="0" distL="0" distR="0">
            <wp:extent cx="4088130" cy="2669540"/>
            <wp:effectExtent l="0" t="0" r="7620" b="1651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>
      <w:pPr>
        <w:pStyle w:val="6"/>
        <w:jc w:val="center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</w:rPr>
        <w:t>图4-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图4-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t xml:space="preserve"> 2016-2018</w:t>
      </w:r>
      <w:r>
        <w:rPr>
          <w:rFonts w:hint="eastAsia"/>
        </w:rPr>
        <w:t>届毕业生就业率变化趋势</w:t>
      </w:r>
    </w:p>
    <w:p>
      <w:pPr>
        <w:pStyle w:val="3"/>
      </w:pPr>
      <w:bookmarkStart w:id="64" w:name="_Toc499049889"/>
      <w:bookmarkStart w:id="65" w:name="_Toc498922059"/>
      <w:bookmarkStart w:id="66" w:name="_Toc498332183"/>
      <w:bookmarkStart w:id="67" w:name="_Toc498332395"/>
      <w:bookmarkStart w:id="68" w:name="_Toc499129866"/>
      <w:bookmarkStart w:id="69" w:name="_Toc12859"/>
      <w:bookmarkStart w:id="70" w:name="_Toc12437"/>
      <w:bookmarkStart w:id="71" w:name="_Toc31334"/>
      <w:bookmarkStart w:id="72" w:name="_Toc21195"/>
      <w:bookmarkStart w:id="73" w:name="_Toc14869"/>
      <w:bookmarkStart w:id="74" w:name="_Toc26780"/>
      <w:bookmarkStart w:id="75" w:name="_Toc11474"/>
      <w:bookmarkStart w:id="76" w:name="_Toc20188"/>
      <w:bookmarkStart w:id="77" w:name="_Toc30589"/>
      <w:bookmarkStart w:id="78" w:name="_Toc7904"/>
      <w:bookmarkStart w:id="79" w:name="_Toc17418"/>
      <w:bookmarkStart w:id="80" w:name="_Toc18942"/>
      <w:bookmarkStart w:id="81" w:name="_Toc534985171"/>
      <w:r>
        <w:rPr>
          <w:rFonts w:hint="eastAsia"/>
        </w:rPr>
        <w:t>二、专业相关度变化趋势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ind w:firstLine="480" w:firstLineChars="200"/>
      </w:pPr>
      <w:r>
        <w:rPr>
          <w:rFonts w:hint="eastAsia"/>
        </w:rPr>
        <w:t>近三年，兴湘学院毕业生工作岗位与专业相关度持续上升，2</w:t>
      </w:r>
      <w:r>
        <w:t>018</w:t>
      </w:r>
      <w:r>
        <w:rPr>
          <w:rFonts w:hint="eastAsia"/>
        </w:rPr>
        <w:t>届（8</w:t>
      </w:r>
      <w:r>
        <w:t>5.86%</w:t>
      </w:r>
      <w:r>
        <w:rPr>
          <w:rFonts w:hint="eastAsia"/>
        </w:rPr>
        <w:t>）比201</w:t>
      </w:r>
      <w:r>
        <w:t>7</w:t>
      </w:r>
      <w:r>
        <w:rPr>
          <w:rFonts w:hint="eastAsia"/>
        </w:rPr>
        <w:t>届（7</w:t>
      </w:r>
      <w:r>
        <w:t>9.04%</w:t>
      </w:r>
      <w:r>
        <w:rPr>
          <w:rFonts w:hint="eastAsia"/>
        </w:rPr>
        <w:t>）上升了6</w:t>
      </w:r>
      <w:r>
        <w:t>.82%</w:t>
      </w:r>
      <w:r>
        <w:rPr>
          <w:rFonts w:hint="eastAsia"/>
        </w:rPr>
        <w:t>，比2</w:t>
      </w:r>
      <w:r>
        <w:t>016</w:t>
      </w:r>
      <w:r>
        <w:rPr>
          <w:rFonts w:hint="eastAsia"/>
        </w:rPr>
        <w:t>届（6</w:t>
      </w:r>
      <w:r>
        <w:t>9.51%</w:t>
      </w:r>
      <w:r>
        <w:rPr>
          <w:rFonts w:hint="eastAsia"/>
        </w:rPr>
        <w:t>）上升了1</w:t>
      </w:r>
      <w:r>
        <w:t>6.35%</w:t>
      </w:r>
      <w:r>
        <w:rPr>
          <w:rFonts w:hint="eastAsia"/>
        </w:rPr>
        <w:t>。</w:t>
      </w:r>
    </w:p>
    <w:p>
      <w:pPr>
        <w:keepNext/>
        <w:jc w:val="center"/>
      </w:pPr>
      <w:r>
        <w:drawing>
          <wp:inline distT="0" distB="0" distL="0" distR="0">
            <wp:extent cx="4124325" cy="2390775"/>
            <wp:effectExtent l="0" t="0" r="9525" b="9525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>
      <w:pPr>
        <w:pStyle w:val="6"/>
        <w:jc w:val="center"/>
      </w:pPr>
      <w:r>
        <w:rPr>
          <w:rFonts w:hint="eastAsia"/>
        </w:rPr>
        <w:t>图4-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图4-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t xml:space="preserve"> 2016-2018</w:t>
      </w:r>
      <w:r>
        <w:rPr>
          <w:rFonts w:hint="eastAsia"/>
        </w:rPr>
        <w:t>届毕业生专业相关度变化趋势</w:t>
      </w:r>
    </w:p>
    <w:p>
      <w:pPr>
        <w:pStyle w:val="3"/>
      </w:pPr>
      <w:bookmarkStart w:id="82" w:name="_Toc3572"/>
      <w:bookmarkStart w:id="83" w:name="_Toc32414"/>
      <w:bookmarkStart w:id="84" w:name="_Toc29279"/>
      <w:bookmarkStart w:id="85" w:name="_Toc11279"/>
      <w:bookmarkStart w:id="86" w:name="_Toc30662"/>
      <w:bookmarkStart w:id="87" w:name="_Toc23196"/>
      <w:bookmarkStart w:id="88" w:name="_Toc14849"/>
      <w:bookmarkStart w:id="89" w:name="_Toc20496"/>
      <w:bookmarkStart w:id="90" w:name="_Toc24473"/>
      <w:bookmarkStart w:id="91" w:name="_Toc28680"/>
      <w:bookmarkStart w:id="92" w:name="_Toc17589"/>
      <w:bookmarkStart w:id="93" w:name="_Toc13944"/>
      <w:bookmarkStart w:id="94" w:name="_Toc534985172"/>
      <w:r>
        <w:rPr>
          <w:rFonts w:hint="eastAsia"/>
        </w:rPr>
        <w:t>三、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>
        <w:rPr>
          <w:rFonts w:hint="eastAsia"/>
        </w:rPr>
        <w:t>国内升学变化趋势</w:t>
      </w:r>
      <w:bookmarkEnd w:id="94"/>
    </w:p>
    <w:p>
      <w:pPr>
        <w:ind w:firstLine="480" w:firstLineChars="200"/>
      </w:pPr>
      <w:r>
        <w:rPr>
          <w:rFonts w:hint="eastAsia"/>
        </w:rPr>
        <w:t>对比前两届，兴湘学院</w:t>
      </w:r>
      <w:r>
        <w:t>2018</w:t>
      </w:r>
      <w:r>
        <w:rPr>
          <w:rFonts w:hint="eastAsia" w:cs="MS Mincho"/>
        </w:rPr>
        <w:t>届</w:t>
      </w:r>
      <w:r>
        <w:rPr>
          <w:rFonts w:hint="eastAsia"/>
        </w:rPr>
        <w:t>毕业</w:t>
      </w:r>
      <w:r>
        <w:rPr>
          <w:rFonts w:cs="MS Mincho"/>
        </w:rPr>
        <w:t>生</w:t>
      </w:r>
      <w:r>
        <w:rPr>
          <w:rFonts w:hint="eastAsia" w:cs="MS Mincho"/>
        </w:rPr>
        <w:t>国内升学</w:t>
      </w:r>
      <w:r>
        <w:rPr>
          <w:rFonts w:hint="eastAsia"/>
        </w:rPr>
        <w:t>的比例明显上升，2</w:t>
      </w:r>
      <w:r>
        <w:t>018</w:t>
      </w:r>
      <w:r>
        <w:rPr>
          <w:rFonts w:hint="eastAsia"/>
        </w:rPr>
        <w:t>届（9</w:t>
      </w:r>
      <w:r>
        <w:t>.08%</w:t>
      </w:r>
      <w:r>
        <w:rPr>
          <w:rFonts w:hint="eastAsia"/>
        </w:rPr>
        <w:t>）比2</w:t>
      </w:r>
      <w:r>
        <w:t>017</w:t>
      </w:r>
      <w:r>
        <w:rPr>
          <w:rFonts w:hint="eastAsia"/>
        </w:rPr>
        <w:t>届（7</w:t>
      </w:r>
      <w:r>
        <w:t>.25%</w:t>
      </w:r>
      <w:r>
        <w:rPr>
          <w:rFonts w:hint="eastAsia"/>
        </w:rPr>
        <w:t>）上升了1</w:t>
      </w:r>
      <w:r>
        <w:t>.83%</w:t>
      </w:r>
      <w:r>
        <w:rPr>
          <w:rFonts w:hint="eastAsia"/>
        </w:rPr>
        <w:t>。</w:t>
      </w:r>
    </w:p>
    <w:p>
      <w:pPr>
        <w:keepNext/>
        <w:jc w:val="center"/>
      </w:pPr>
      <w:r>
        <w:drawing>
          <wp:inline distT="0" distB="0" distL="0" distR="0">
            <wp:extent cx="4181475" cy="2200275"/>
            <wp:effectExtent l="0" t="0" r="9525" b="952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>
      <w:pPr>
        <w:pStyle w:val="6"/>
        <w:jc w:val="center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</w:rPr>
        <w:t>图4-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图4-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t xml:space="preserve"> 2016-2018</w:t>
      </w:r>
      <w:r>
        <w:rPr>
          <w:rFonts w:hint="eastAsia"/>
        </w:rPr>
        <w:t>届毕业生国内升学变化趋势</w:t>
      </w:r>
    </w:p>
    <w:p>
      <w:pPr>
        <w:pStyle w:val="3"/>
      </w:pPr>
      <w:bookmarkStart w:id="95" w:name="_Toc4264"/>
      <w:bookmarkStart w:id="96" w:name="_Toc15597"/>
      <w:bookmarkStart w:id="97" w:name="_Toc8625"/>
      <w:bookmarkStart w:id="98" w:name="_Toc19620"/>
      <w:bookmarkStart w:id="99" w:name="_Toc26282"/>
      <w:bookmarkStart w:id="100" w:name="_Toc27357"/>
      <w:bookmarkStart w:id="101" w:name="_Toc3216"/>
      <w:bookmarkStart w:id="102" w:name="_Toc26416"/>
      <w:bookmarkStart w:id="103" w:name="_Toc22046"/>
      <w:bookmarkStart w:id="104" w:name="_Toc4858"/>
      <w:bookmarkStart w:id="105" w:name="_Toc27472"/>
      <w:bookmarkStart w:id="106" w:name="_Toc17576"/>
      <w:bookmarkStart w:id="107" w:name="_Toc534985173"/>
      <w:r>
        <w:rPr>
          <w:rFonts w:hint="eastAsia"/>
        </w:rPr>
        <w:t>四、在湘就业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>
        <w:rPr>
          <w:rFonts w:hint="eastAsia"/>
        </w:rPr>
        <w:t>变化趋势</w:t>
      </w:r>
      <w:bookmarkEnd w:id="107"/>
    </w:p>
    <w:p>
      <w:pPr>
        <w:ind w:firstLine="480" w:firstLineChars="200"/>
      </w:pPr>
      <w:r>
        <w:rPr>
          <w:rFonts w:hint="eastAsia"/>
        </w:rPr>
        <w:t>从</w:t>
      </w:r>
      <w:r>
        <w:rPr>
          <w:rFonts w:cs="MS Mincho"/>
        </w:rPr>
        <w:t>近</w:t>
      </w:r>
      <w:r>
        <w:rPr>
          <w:rFonts w:hint="eastAsia"/>
        </w:rPr>
        <w:t>三年趋势上看，毕业生在湖南省就业人数的比例持续下降，</w:t>
      </w:r>
      <w:r>
        <w:t>2018</w:t>
      </w:r>
      <w:r>
        <w:rPr>
          <w:rFonts w:hint="eastAsia"/>
        </w:rPr>
        <w:t>届（6</w:t>
      </w:r>
      <w:r>
        <w:t>0.97%</w:t>
      </w:r>
      <w:r>
        <w:rPr>
          <w:rFonts w:hint="eastAsia"/>
        </w:rPr>
        <w:t>）比2</w:t>
      </w:r>
      <w:r>
        <w:t>017</w:t>
      </w:r>
      <w:r>
        <w:rPr>
          <w:rFonts w:hint="eastAsia"/>
        </w:rPr>
        <w:t>届（8</w:t>
      </w:r>
      <w:r>
        <w:t>6.12%</w:t>
      </w:r>
      <w:r>
        <w:rPr>
          <w:rFonts w:hint="eastAsia"/>
        </w:rPr>
        <w:t>）下降了2</w:t>
      </w:r>
      <w:r>
        <w:t>5.15%</w:t>
      </w:r>
      <w:r>
        <w:rPr>
          <w:rFonts w:hint="eastAsia"/>
        </w:rPr>
        <w:t>。</w:t>
      </w:r>
    </w:p>
    <w:p>
      <w:pPr>
        <w:keepNext/>
        <w:jc w:val="center"/>
      </w:pPr>
      <w:r>
        <w:drawing>
          <wp:inline distT="0" distB="0" distL="0" distR="0">
            <wp:extent cx="4635500" cy="2743200"/>
            <wp:effectExtent l="0" t="0" r="1270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>
      <w:pPr>
        <w:pStyle w:val="6"/>
        <w:jc w:val="center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</w:rPr>
        <w:t>图4-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图4- \* ARABIC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t xml:space="preserve"> 2016-2018</w:t>
      </w:r>
      <w:r>
        <w:rPr>
          <w:rFonts w:hint="eastAsia"/>
        </w:rPr>
        <w:t>届在湘就业人数比例变化趋势</w:t>
      </w:r>
    </w:p>
    <w:p>
      <w:bookmarkStart w:id="108" w:name="_GoBack"/>
      <w:bookmarkEnd w:id="108"/>
    </w:p>
    <w:sectPr>
      <w:pgSz w:w="11900" w:h="1682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10E7D"/>
    <w:rsid w:val="4D33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240" w:after="240"/>
      <w:jc w:val="center"/>
      <w:outlineLvl w:val="0"/>
    </w:pPr>
    <w:rPr>
      <w:rFonts w:asciiTheme="minorEastAsia" w:hAnsiTheme="minorEastAsia" w:eastAsiaTheme="majorEastAsia" w:cstheme="majorBidi"/>
      <w:b/>
      <w:color w:val="000000" w:themeColor="text1"/>
      <w:kern w:val="2"/>
      <w:sz w:val="44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 w:val="0"/>
      <w:spacing w:before="120" w:after="120"/>
      <w:outlineLvl w:val="1"/>
    </w:pPr>
    <w:rPr>
      <w:rFonts w:asciiTheme="minorEastAsia" w:hAnsiTheme="minorEastAsia" w:eastAsiaTheme="majorEastAsia" w:cstheme="majorBidi"/>
      <w:b/>
      <w:color w:val="000000" w:themeColor="text1"/>
      <w:kern w:val="2"/>
      <w:sz w:val="32"/>
      <w:szCs w:val="26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widowControl w:val="0"/>
      <w:spacing w:before="120" w:after="120"/>
      <w:outlineLvl w:val="2"/>
    </w:pPr>
    <w:rPr>
      <w:rFonts w:eastAsia="宋体" w:asciiTheme="minorEastAsia" w:hAnsiTheme="minorEastAsia" w:cstheme="majorBidi"/>
      <w:b/>
      <w:color w:val="000000" w:themeColor="text1"/>
      <w:kern w:val="2"/>
      <w:sz w:val="28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widowControl w:val="0"/>
      <w:spacing w:after="40"/>
      <w:ind w:firstLine="475"/>
      <w:outlineLvl w:val="3"/>
    </w:pPr>
    <w:rPr>
      <w:rFonts w:ascii="宋体" w:hAnsi="宋体" w:eastAsia="宋体" w:cstheme="majorBidi"/>
      <w:iCs/>
      <w:color w:val="000000" w:themeColor="text1"/>
      <w:kern w:val="2"/>
      <w:szCs w:val="22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99"/>
    <w:pPr>
      <w:spacing w:after="0" w:line="240" w:lineRule="auto"/>
    </w:pPr>
    <w:rPr>
      <w:rFonts w:eastAsia="黑体" w:asciiTheme="majorHAnsi" w:hAnsiTheme="majorHAnsi" w:cstheme="majorBidi"/>
      <w:kern w:val="2"/>
      <w:sz w:val="20"/>
      <w:szCs w:val="20"/>
    </w:rPr>
  </w:style>
  <w:style w:type="paragraph" w:styleId="7">
    <w:name w:val="footnote text"/>
    <w:basedOn w:val="1"/>
    <w:unhideWhenUsed/>
    <w:qFormat/>
    <w:uiPriority w:val="99"/>
    <w:pPr>
      <w:widowControl w:val="0"/>
      <w:snapToGrid w:val="0"/>
    </w:pPr>
    <w:rPr>
      <w:rFonts w:ascii="Calibri" w:hAnsi="Calibri" w:eastAsia="宋体" w:cs="黑体"/>
      <w:kern w:val="2"/>
      <w:sz w:val="18"/>
      <w:szCs w:val="22"/>
    </w:rPr>
  </w:style>
  <w:style w:type="character" w:styleId="9">
    <w:name w:val="footnote reference"/>
    <w:unhideWhenUsed/>
    <w:qFormat/>
    <w:uiPriority w:val="99"/>
    <w:rPr>
      <w:vertAlign w:val="superscript"/>
    </w:rPr>
  </w:style>
  <w:style w:type="paragraph" w:customStyle="1" w:styleId="11">
    <w:name w:val="报告内文"/>
    <w:basedOn w:val="1"/>
    <w:qFormat/>
    <w:uiPriority w:val="0"/>
    <w:pPr>
      <w:widowControl w:val="0"/>
      <w:spacing w:before="120" w:after="120"/>
      <w:ind w:firstLine="200" w:firstLineChars="200"/>
    </w:pPr>
    <w:rPr>
      <w:rFonts w:asciiTheme="minorEastAsia" w:hAnsiTheme="minorHAnsi" w:cstheme="minorBid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image" Target="media/image2.emf"/><Relationship Id="rId7" Type="http://schemas.openxmlformats.org/officeDocument/2006/relationships/image" Target="media/image1.emf"/><Relationship Id="rId6" Type="http://schemas.openxmlformats.org/officeDocument/2006/relationships/chart" Target="charts/chart2.xml"/><Relationship Id="rId5" Type="http://schemas.openxmlformats.org/officeDocument/2006/relationships/image" Target="media/image1.tiff"/><Relationship Id="rId4" Type="http://schemas.openxmlformats.org/officeDocument/2006/relationships/chart" Target="charts/chart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chart" Target="charts/chart22.xml"/><Relationship Id="rId28" Type="http://schemas.openxmlformats.org/officeDocument/2006/relationships/chart" Target="charts/chart21.xml"/><Relationship Id="rId27" Type="http://schemas.openxmlformats.org/officeDocument/2006/relationships/chart" Target="charts/chart20.xml"/><Relationship Id="rId26" Type="http://schemas.openxmlformats.org/officeDocument/2006/relationships/chart" Target="charts/chart19.xml"/><Relationship Id="rId25" Type="http://schemas.openxmlformats.org/officeDocument/2006/relationships/chart" Target="charts/chart18.xml"/><Relationship Id="rId24" Type="http://schemas.openxmlformats.org/officeDocument/2006/relationships/chart" Target="charts/chart17.xml"/><Relationship Id="rId23" Type="http://schemas.openxmlformats.org/officeDocument/2006/relationships/chart" Target="charts/chart16.xml"/><Relationship Id="rId22" Type="http://schemas.openxmlformats.org/officeDocument/2006/relationships/chart" Target="charts/chart15.xml"/><Relationship Id="rId21" Type="http://schemas.openxmlformats.org/officeDocument/2006/relationships/chart" Target="charts/chart14.xml"/><Relationship Id="rId20" Type="http://schemas.openxmlformats.org/officeDocument/2006/relationships/chart" Target="charts/chart13.xml"/><Relationship Id="rId2" Type="http://schemas.openxmlformats.org/officeDocument/2006/relationships/settings" Target="settings.xml"/><Relationship Id="rId19" Type="http://schemas.openxmlformats.org/officeDocument/2006/relationships/chart" Target="charts/chart12.xml"/><Relationship Id="rId18" Type="http://schemas.openxmlformats.org/officeDocument/2006/relationships/chart" Target="charts/chart11.xml"/><Relationship Id="rId17" Type="http://schemas.openxmlformats.org/officeDocument/2006/relationships/image" Target="media/image3.png"/><Relationship Id="rId16" Type="http://schemas.openxmlformats.org/officeDocument/2006/relationships/chart" Target="charts/chart10.xml"/><Relationship Id="rId15" Type="http://schemas.openxmlformats.org/officeDocument/2006/relationships/chart" Target="charts/chart9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emf"/><Relationship Id="rId2" Type="http://schemas.openxmlformats.org/officeDocument/2006/relationships/image" Target="../media/image6.png"/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oleObject" Target="file:///C:\Users\he%20yu\AppData\Roaming\Microsoft\Excel\&#20852;&#28248;&#23398;&#38498;3-5&#22270;&#25991;%20(version%202).xlsb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png"/><Relationship Id="rId1" Type="http://schemas.openxmlformats.org/officeDocument/2006/relationships/oleObject" Target="file:///C:\Users\he%20yu\AppData\Roaming\Microsoft\Excel\&#20852;&#28248;&#23398;&#38498;3-5&#22270;&#25991;%20(version%202).xlsb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%20yu\AppData\Roaming\Microsoft\Excel\&#20852;&#28248;&#23398;&#38498;3-5&#22270;&#25991;%20(version%202).xlsb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%20yu\AppData\Roaming\Microsoft\Excel\&#28246;&#21335;&#31185;&#22823;&#25253;&#21578;&#22270;&#25991;%20(version%202).xlsb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emf"/><Relationship Id="rId1" Type="http://schemas.openxmlformats.org/officeDocument/2006/relationships/oleObject" Target="file:///C:\Users\he%20yu\AppData\Roaming\Microsoft\Excel\&#20852;&#28248;&#23398;&#38498;3-5&#22270;&#25991;%20(version%202).xlsb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%20yu\AppData\Roaming\Microsoft\Excel\&#20852;&#28248;&#23398;&#38498;3-5&#22270;&#25991;%20(version%202).xlsb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emf"/><Relationship Id="rId1" Type="http://schemas.openxmlformats.org/officeDocument/2006/relationships/oleObject" Target="file:///C:\Users\he%20yu\AppData\Roaming\Microsoft\Excel\&#20852;&#28248;&#23398;&#38498;3-5&#22270;&#25991;%20(version%202).xlsb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&#65288;12.09&#65289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&#65288;12.09&#65289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&#65288;12.09&#65289;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3.png"/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&#65288;12.09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%20yu\Desktop\&#20113;&#30740;&#31185;&#25216;\wo\1123&#28248;&#28525;&#22823;&#23398;&#20852;&#28248;&#23398;&#38498;\&#20852;&#28248;&#23398;&#38498;3-5&#22270;&#2599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%20yu\Desktop\&#20113;&#30740;&#31185;&#25216;\wo\1123&#28248;&#28525;&#22823;&#23398;&#20852;&#28248;&#23398;&#38498;\&#20852;&#28248;&#23398;&#38498;3-5&#22270;&#2599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%20yu\Desktop\&#20113;&#30740;&#31185;&#25216;\wo\1123&#28248;&#28525;&#22823;&#23398;&#20852;&#28248;&#23398;&#38498;\&#20852;&#28248;&#23398;&#38498;3-5&#22270;&#2599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xia\Desktop\&#20113;&#30740;&#31185;&#25216;&#25991;&#20214;\&#23601;&#19994;&#36136;&#37327;&#25253;&#21578;\&#23601;&#19994;&#36136;&#37327;&#25253;&#21578;2018&#23626;\&#20852;&#28248;&#23398;&#38498;\&#20852;&#28248;&#23398;&#38498;3-5&#22270;&#25991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png"/><Relationship Id="rId1" Type="http://schemas.openxmlformats.org/officeDocument/2006/relationships/oleObject" Target="file:///C:\Users\he%20yu\Desktop\&#20113;&#30740;&#31185;&#25216;\wo\1123&#28248;&#28525;&#22823;&#23398;&#20852;&#28248;&#23398;&#38498;\&#20852;&#28248;&#23398;&#38498;3-5&#22270;&#25991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png"/><Relationship Id="rId1" Type="http://schemas.openxmlformats.org/officeDocument/2006/relationships/oleObject" Target="file:///C:\Users\he%20yu\Desktop\&#20113;&#30740;&#31185;&#25216;\wo\1123&#28248;&#28525;&#22823;&#23398;&#20852;&#28248;&#23398;&#38498;\&#20852;&#28248;&#23398;&#38498;3-5&#22270;&#259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5277777777778"/>
          <c:y val="0.168981481481482"/>
          <c:w val="0.46388888888889"/>
          <c:h val="0.773148148148149"/>
        </c:manualLayout>
      </c:layout>
      <c:pieChart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rgbClr val="FAC7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40EB6A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42D7F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D3C1E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D6807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1755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25353818577556"/>
                  <c:y val="0.025137919080869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44444444444444"/>
                  <c:y val="-0.02844962088072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72465004374453"/>
                  <c:y val="-0.0039927821522309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67788713910761"/>
                  <c:y val="0.10095545348498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82823709536308"/>
                  <c:y val="-0.0073674224456882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晋升空间xx!$F$4:$F$9</c:f>
              <c:strCache>
                <c:ptCount val="6"/>
                <c:pt idx="0">
                  <c:v>非常大</c:v>
                </c:pt>
                <c:pt idx="1">
                  <c:v>比较大</c:v>
                </c:pt>
                <c:pt idx="2">
                  <c:v>一般</c:v>
                </c:pt>
                <c:pt idx="3">
                  <c:v>比较小</c:v>
                </c:pt>
                <c:pt idx="4">
                  <c:v>非常小</c:v>
                </c:pt>
                <c:pt idx="5">
                  <c:v>不了解</c:v>
                </c:pt>
              </c:strCache>
            </c:strRef>
          </c:cat>
          <c:val>
            <c:numRef>
              <c:f>晋升空间xx!$H$4:$H$9</c:f>
              <c:numCache>
                <c:formatCode>0.00%</c:formatCode>
                <c:ptCount val="6"/>
                <c:pt idx="0">
                  <c:v>0.065</c:v>
                </c:pt>
                <c:pt idx="1">
                  <c:v>0.3041</c:v>
                </c:pt>
                <c:pt idx="2">
                  <c:v>0.5089</c:v>
                </c:pt>
                <c:pt idx="3">
                  <c:v>0.0764</c:v>
                </c:pt>
                <c:pt idx="4">
                  <c:v>0.0179</c:v>
                </c:pt>
                <c:pt idx="5">
                  <c:v>0.0276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bar"/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rgbClr val="D3C1E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42D7F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AC7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1755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40EB6A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-0.154387240056532"/>
                  <c:y val="0.012606118200742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41104564726612"/>
                  <c:y val="-9.05059281382938e-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升学专业一致性xx!$A$2:$A$5</c:f>
              <c:strCache>
                <c:ptCount val="4"/>
                <c:pt idx="0">
                  <c:v>非常一致</c:v>
                </c:pt>
                <c:pt idx="1">
                  <c:v>基本一致</c:v>
                </c:pt>
                <c:pt idx="2">
                  <c:v>不太一致</c:v>
                </c:pt>
                <c:pt idx="3">
                  <c:v>完全不一致</c:v>
                </c:pt>
              </c:strCache>
            </c:strRef>
          </c:cat>
          <c:val>
            <c:numRef>
              <c:f>升学专业一致性xx!$B$2:$B$5</c:f>
              <c:numCache>
                <c:formatCode>0.00%</c:formatCode>
                <c:ptCount val="4"/>
                <c:pt idx="0">
                  <c:v>0.3056</c:v>
                </c:pt>
                <c:pt idx="1">
                  <c:v>0.4352</c:v>
                </c:pt>
                <c:pt idx="2">
                  <c:v>0.1759</c:v>
                </c:pt>
                <c:pt idx="3">
                  <c:v>0.0833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prstDash val="solid"/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900">
          <a:solidFill>
            <a:schemeClr val="bg1"/>
          </a:solidFill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 w="1905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186821945611955"/>
                  <c:y val="0.01184994405427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418150752595467"/>
                  <c:y val="0.0099554524106418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16916783417754"/>
                  <c:y val="0.01244340326465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319399522651738"/>
                  <c:y val="0.0013763070612958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87511989471571"/>
                  <c:y val="0.033055403826922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创业资金来源xx!$B$5:$B$9</c:f>
              <c:strCache>
                <c:ptCount val="5"/>
                <c:pt idx="0">
                  <c:v>父母资助</c:v>
                </c:pt>
                <c:pt idx="1">
                  <c:v>大学生创业贷款</c:v>
                </c:pt>
                <c:pt idx="2">
                  <c:v>创业扶持基金</c:v>
                </c:pt>
                <c:pt idx="3">
                  <c:v>风险投资</c:v>
                </c:pt>
                <c:pt idx="4">
                  <c:v>其他</c:v>
                </c:pt>
              </c:strCache>
            </c:strRef>
          </c:cat>
          <c:val>
            <c:numRef>
              <c:f>创业资金来源xx!$D$5:$D$9</c:f>
              <c:numCache>
                <c:formatCode>0.00%</c:formatCode>
                <c:ptCount val="5"/>
                <c:pt idx="0">
                  <c:v>0.4375</c:v>
                </c:pt>
                <c:pt idx="1">
                  <c:v>0.1875</c:v>
                </c:pt>
                <c:pt idx="2">
                  <c:v>0.0625</c:v>
                </c:pt>
                <c:pt idx="3">
                  <c:v>0.0625</c:v>
                </c:pt>
                <c:pt idx="4">
                  <c:v>0.25</c:v>
                </c:pt>
              </c:numCache>
            </c:numRef>
          </c:val>
        </c:ser>
        <c:ser>
          <c:idx val="1"/>
          <c:order val="1"/>
          <c:spPr>
            <a:blipFill>
              <a:blip xmlns:r="http://schemas.openxmlformats.org/officeDocument/2006/relationships" r:embed="rId3"/>
              <a:stretch>
                <a:fillRect/>
              </a:stretch>
            </a:blipFill>
            <a:ln w="19050">
              <a:noFill/>
            </a:ln>
            <a:effectLst/>
          </c:spPr>
          <c:invertIfNegative val="0"/>
          <c:dLbls>
            <c:delete val="1"/>
          </c:dLbls>
          <c:cat>
            <c:strRef>
              <c:f>创业资金来源xx!$B$5:$B$9</c:f>
              <c:strCache>
                <c:ptCount val="5"/>
                <c:pt idx="0">
                  <c:v>父母资助</c:v>
                </c:pt>
                <c:pt idx="1">
                  <c:v>大学生创业贷款</c:v>
                </c:pt>
                <c:pt idx="2">
                  <c:v>创业扶持基金</c:v>
                </c:pt>
                <c:pt idx="3">
                  <c:v>风险投资</c:v>
                </c:pt>
                <c:pt idx="4">
                  <c:v>其他</c:v>
                </c:pt>
              </c:strCache>
            </c:strRef>
          </c:cat>
          <c:val>
            <c:numRef>
              <c:f>创业资金来源xx!$E$5:$E$9</c:f>
              <c:numCache>
                <c:formatCode>0.00%</c:formatCode>
                <c:ptCount val="5"/>
                <c:pt idx="0">
                  <c:v>0.4375</c:v>
                </c:pt>
                <c:pt idx="1">
                  <c:v>0.1875</c:v>
                </c:pt>
                <c:pt idx="2">
                  <c:v>0.0625</c:v>
                </c:pt>
                <c:pt idx="3">
                  <c:v>0.0625</c:v>
                </c:pt>
                <c:pt idx="4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9251072"/>
        <c:axId val="159396224"/>
      </c:barChart>
      <c:catAx>
        <c:axId val="15925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9396224"/>
        <c:crosses val="autoZero"/>
        <c:auto val="1"/>
        <c:lblAlgn val="ctr"/>
        <c:lblOffset val="100"/>
        <c:noMultiLvlLbl val="0"/>
      </c:catAx>
      <c:valAx>
        <c:axId val="159396224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925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创业困难xx!$C$2</c:f>
              <c:strCache>
                <c:ptCount val="1"/>
                <c:pt idx="0">
                  <c:v>数据量</c:v>
                </c:pt>
              </c:strCache>
            </c:strRef>
          </c:tx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  <a:effectLst/>
          </c:spPr>
          <c:invertIfNegative val="0"/>
          <c:pictureOptions>
            <c:pictureFormat val="stack"/>
          </c:pictureOptions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创业困难xx!$B$3:$B$10</c:f>
              <c:strCache>
                <c:ptCount val="8"/>
                <c:pt idx="0">
                  <c:v>产品营销</c:v>
                </c:pt>
                <c:pt idx="1">
                  <c:v>团队组建</c:v>
                </c:pt>
                <c:pt idx="2">
                  <c:v>资金筹备</c:v>
                </c:pt>
                <c:pt idx="3">
                  <c:v>社会关系缺乏</c:v>
                </c:pt>
                <c:pt idx="4">
                  <c:v>创办手续审批</c:v>
                </c:pt>
                <c:pt idx="5">
                  <c:v>创业项目选取</c:v>
                </c:pt>
                <c:pt idx="6">
                  <c:v>软硬件准备</c:v>
                </c:pt>
                <c:pt idx="7">
                  <c:v>其他</c:v>
                </c:pt>
              </c:strCache>
            </c:strRef>
          </c:cat>
          <c:val>
            <c:numRef>
              <c:f>创业困难xx!$C$3:$C$10</c:f>
              <c:numCache>
                <c:formatCode>0.00%</c:formatCode>
                <c:ptCount val="8"/>
                <c:pt idx="0">
                  <c:v>0.2368</c:v>
                </c:pt>
                <c:pt idx="1">
                  <c:v>0.2368</c:v>
                </c:pt>
                <c:pt idx="2">
                  <c:v>0.2105</c:v>
                </c:pt>
                <c:pt idx="3">
                  <c:v>0.1316</c:v>
                </c:pt>
                <c:pt idx="4">
                  <c:v>0.0526</c:v>
                </c:pt>
                <c:pt idx="5">
                  <c:v>0.0526</c:v>
                </c:pt>
                <c:pt idx="6">
                  <c:v>0.0526</c:v>
                </c:pt>
                <c:pt idx="7">
                  <c:v>0.0263</c:v>
                </c:pt>
              </c:numCache>
            </c:numRef>
          </c:val>
        </c:ser>
        <c:ser>
          <c:idx val="1"/>
          <c:order val="1"/>
          <c:tx>
            <c:strRef>
              <c:f>创业困难xx!$D$2</c:f>
              <c:strCache>
                <c:ptCount val="1"/>
                <c:pt idx="0">
                  <c:v>预计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inBase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创业困难xx!$B$3:$B$10</c:f>
              <c:strCache>
                <c:ptCount val="8"/>
                <c:pt idx="0">
                  <c:v>产品营销</c:v>
                </c:pt>
                <c:pt idx="1">
                  <c:v>团队组建</c:v>
                </c:pt>
                <c:pt idx="2">
                  <c:v>资金筹备</c:v>
                </c:pt>
                <c:pt idx="3">
                  <c:v>社会关系缺乏</c:v>
                </c:pt>
                <c:pt idx="4">
                  <c:v>创办手续审批</c:v>
                </c:pt>
                <c:pt idx="5">
                  <c:v>创业项目选取</c:v>
                </c:pt>
                <c:pt idx="6">
                  <c:v>软硬件准备</c:v>
                </c:pt>
                <c:pt idx="7">
                  <c:v>其他</c:v>
                </c:pt>
              </c:strCache>
            </c:strRef>
          </c:cat>
          <c:val>
            <c:numRef>
              <c:f>创业困难xx!$D$3:$D$10</c:f>
              <c:numCache>
                <c:formatCode>0.00%</c:formatCode>
                <c:ptCount val="8"/>
                <c:pt idx="0">
                  <c:v>0.241758241758242</c:v>
                </c:pt>
                <c:pt idx="1">
                  <c:v>0.183150183150183</c:v>
                </c:pt>
                <c:pt idx="2">
                  <c:v>0.161172161172161</c:v>
                </c:pt>
                <c:pt idx="3">
                  <c:v>0.0989010989010992</c:v>
                </c:pt>
                <c:pt idx="4">
                  <c:v>0.0842490842490843</c:v>
                </c:pt>
                <c:pt idx="5">
                  <c:v>0.0659340659340659</c:v>
                </c:pt>
                <c:pt idx="6">
                  <c:v>0.0549450549450549</c:v>
                </c:pt>
                <c:pt idx="7">
                  <c:v>0.0549450549450549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59430144"/>
        <c:axId val="159431680"/>
      </c:barChart>
      <c:catAx>
        <c:axId val="159430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9431680"/>
        <c:crosses val="autoZero"/>
        <c:auto val="1"/>
        <c:lblAlgn val="ctr"/>
        <c:lblOffset val="100"/>
        <c:noMultiLvlLbl val="0"/>
      </c:catAx>
      <c:valAx>
        <c:axId val="159431680"/>
        <c:scaling>
          <c:orientation val="minMax"/>
        </c:scaling>
        <c:delete val="0"/>
        <c:axPos val="b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943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  <a:effectLst/>
          </c:spPr>
          <c:invertIfNegative val="0"/>
          <c:pictureOptions>
            <c:pictureFormat val="stack"/>
          </c:pictureOptions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创业准备xx!$B$2:$B$7</c:f>
              <c:strCache>
                <c:ptCount val="6"/>
                <c:pt idx="0">
                  <c:v>向成功创业者学习</c:v>
                </c:pt>
                <c:pt idx="1">
                  <c:v>多沟通，整合资源</c:v>
                </c:pt>
                <c:pt idx="2">
                  <c:v>到社会中历练</c:v>
                </c:pt>
                <c:pt idx="3">
                  <c:v>浏览信息，寻找机会</c:v>
                </c:pt>
                <c:pt idx="4">
                  <c:v>学习创业课程</c:v>
                </c:pt>
                <c:pt idx="5">
                  <c:v>研读创业书籍</c:v>
                </c:pt>
              </c:strCache>
            </c:strRef>
          </c:cat>
          <c:val>
            <c:numRef>
              <c:f>创业准备xx!$C$2:$C$7</c:f>
              <c:numCache>
                <c:formatCode>0.00%</c:formatCode>
                <c:ptCount val="6"/>
                <c:pt idx="0">
                  <c:v>0.3056</c:v>
                </c:pt>
                <c:pt idx="1">
                  <c:v>0.25</c:v>
                </c:pt>
                <c:pt idx="2">
                  <c:v>0.1944</c:v>
                </c:pt>
                <c:pt idx="3">
                  <c:v>0.1111</c:v>
                </c:pt>
                <c:pt idx="4">
                  <c:v>0.0833</c:v>
                </c:pt>
                <c:pt idx="5">
                  <c:v>0.0556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60602752"/>
        <c:axId val="160608640"/>
      </c:barChart>
      <c:catAx>
        <c:axId val="16060275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60608640"/>
        <c:crosses val="autoZero"/>
        <c:auto val="1"/>
        <c:lblAlgn val="ctr"/>
        <c:lblOffset val="100"/>
        <c:noMultiLvlLbl val="0"/>
      </c:catAx>
      <c:valAx>
        <c:axId val="16060864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0%" sourceLinked="0"/>
        <c:majorTickMark val="in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60602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024540738093"/>
          <c:y val="0.0210526315789474"/>
          <c:w val="0.771069189113346"/>
          <c:h val="0.90597368421052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6C3E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能力xx!$A$1:$A$7</c:f>
              <c:strCache>
                <c:ptCount val="7"/>
                <c:pt idx="0">
                  <c:v>管理领导能力</c:v>
                </c:pt>
                <c:pt idx="1">
                  <c:v>持续学习能力</c:v>
                </c:pt>
                <c:pt idx="2">
                  <c:v>沟通协调与社会关系能力</c:v>
                </c:pt>
                <c:pt idx="3">
                  <c:v>专业基础知识</c:v>
                </c:pt>
                <c:pt idx="4">
                  <c:v>把握机会能力</c:v>
                </c:pt>
                <c:pt idx="5">
                  <c:v>承受与规避风险能力</c:v>
                </c:pt>
                <c:pt idx="6">
                  <c:v>熟悉政策与环境</c:v>
                </c:pt>
              </c:strCache>
            </c:strRef>
          </c:cat>
          <c:val>
            <c:numRef>
              <c:f>能力xx!$B$1:$B$7</c:f>
              <c:numCache>
                <c:formatCode>0.00%</c:formatCode>
                <c:ptCount val="7"/>
                <c:pt idx="0">
                  <c:v>0.2703</c:v>
                </c:pt>
                <c:pt idx="1">
                  <c:v>0.1892</c:v>
                </c:pt>
                <c:pt idx="2">
                  <c:v>0.1892</c:v>
                </c:pt>
                <c:pt idx="3">
                  <c:v>0.1622</c:v>
                </c:pt>
                <c:pt idx="4">
                  <c:v>0.0811</c:v>
                </c:pt>
                <c:pt idx="5">
                  <c:v>0.0811</c:v>
                </c:pt>
                <c:pt idx="6">
                  <c:v>0.027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60620544"/>
        <c:axId val="160622080"/>
      </c:barChart>
      <c:catAx>
        <c:axId val="160620544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60622080"/>
        <c:crosses val="autoZero"/>
        <c:auto val="1"/>
        <c:lblAlgn val="ctr"/>
        <c:lblOffset val="100"/>
        <c:noMultiLvlLbl val="0"/>
      </c:catAx>
      <c:valAx>
        <c:axId val="160622080"/>
        <c:scaling>
          <c:orientation val="minMax"/>
          <c:max val="0.3"/>
        </c:scaling>
        <c:delete val="0"/>
        <c:axPos val="b"/>
        <c:numFmt formatCode="0%" sourceLinked="0"/>
        <c:majorTickMark val="in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60620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900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950592631252"/>
          <c:y val="0"/>
          <c:w val="0.508886216312298"/>
          <c:h val="0.970239104727294"/>
        </c:manualLayout>
      </c:layout>
      <c:pieChart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rgbClr val="6FA0B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ACCF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8DC069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创业方式!$B$6:$B$8</c:f>
              <c:strCache>
                <c:ptCount val="3"/>
                <c:pt idx="0">
                  <c:v>中立</c:v>
                </c:pt>
                <c:pt idx="1">
                  <c:v>非常支持</c:v>
                </c:pt>
                <c:pt idx="2">
                  <c:v>勉强支持</c:v>
                </c:pt>
              </c:strCache>
            </c:strRef>
          </c:cat>
          <c:val>
            <c:numRef>
              <c:f>创业方式!$D$6:$D$8</c:f>
              <c:numCache>
                <c:formatCode>0.00%</c:formatCode>
                <c:ptCount val="3"/>
                <c:pt idx="0">
                  <c:v>0.25</c:v>
                </c:pt>
                <c:pt idx="1">
                  <c:v>0.375</c:v>
                </c:pt>
                <c:pt idx="2">
                  <c:v>0.375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未就业原因xx!$C$2</c:f>
              <c:strCache>
                <c:ptCount val="1"/>
                <c:pt idx="0">
                  <c:v>数据量</c:v>
                </c:pt>
              </c:strCache>
            </c:strRef>
          </c:tx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未就业原因xx!$B$3:$B$7</c:f>
              <c:strCache>
                <c:ptCount val="5"/>
                <c:pt idx="0">
                  <c:v>正在择业</c:v>
                </c:pt>
                <c:pt idx="1">
                  <c:v>准备招考</c:v>
                </c:pt>
                <c:pt idx="2">
                  <c:v>等待单位签约</c:v>
                </c:pt>
                <c:pt idx="3">
                  <c:v>准备升学考试</c:v>
                </c:pt>
                <c:pt idx="4">
                  <c:v>暂不就业</c:v>
                </c:pt>
              </c:strCache>
            </c:strRef>
          </c:cat>
          <c:val>
            <c:numRef>
              <c:f>未就业原因xx!$C$3:$C$7</c:f>
              <c:numCache>
                <c:formatCode>0.00%</c:formatCode>
                <c:ptCount val="5"/>
                <c:pt idx="0">
                  <c:v>0.5315</c:v>
                </c:pt>
                <c:pt idx="1">
                  <c:v>0.2301</c:v>
                </c:pt>
                <c:pt idx="2">
                  <c:v>0.1562</c:v>
                </c:pt>
                <c:pt idx="3">
                  <c:v>0.0521</c:v>
                </c:pt>
                <c:pt idx="4">
                  <c:v>0.0301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64399744"/>
        <c:axId val="164413824"/>
      </c:barChart>
      <c:catAx>
        <c:axId val="164399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64413824"/>
        <c:crosses val="autoZero"/>
        <c:auto val="1"/>
        <c:lblAlgn val="ctr"/>
        <c:lblOffset val="100"/>
        <c:noMultiLvlLbl val="0"/>
      </c:catAx>
      <c:valAx>
        <c:axId val="164413824"/>
        <c:scaling>
          <c:orientation val="minMax"/>
        </c:scaling>
        <c:delete val="0"/>
        <c:axPos val="b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6439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择业定位xx!$C$2</c:f>
              <c:strCache>
                <c:ptCount val="1"/>
                <c:pt idx="0">
                  <c:v>数据量</c:v>
                </c:pt>
              </c:strCache>
            </c:strRef>
          </c:tx>
          <c:spPr>
            <a:solidFill>
              <a:schemeClr val="accent1">
                <a:alpha val="71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择业定位xx!$B$3:$B$10</c:f>
              <c:strCache>
                <c:ptCount val="8"/>
                <c:pt idx="0">
                  <c:v>国有企业</c:v>
                </c:pt>
                <c:pt idx="1">
                  <c:v>其他事业单位</c:v>
                </c:pt>
                <c:pt idx="2">
                  <c:v>政府机关</c:v>
                </c:pt>
                <c:pt idx="3">
                  <c:v>学校</c:v>
                </c:pt>
                <c:pt idx="4">
                  <c:v>外资企业</c:v>
                </c:pt>
                <c:pt idx="5">
                  <c:v>社会组织</c:v>
                </c:pt>
                <c:pt idx="6">
                  <c:v>自主创业</c:v>
                </c:pt>
                <c:pt idx="7">
                  <c:v>军队</c:v>
                </c:pt>
              </c:strCache>
            </c:strRef>
          </c:cat>
          <c:val>
            <c:numRef>
              <c:f>择业定位xx!$C$3:$C$10</c:f>
              <c:numCache>
                <c:formatCode>0.00%</c:formatCode>
                <c:ptCount val="8"/>
                <c:pt idx="0">
                  <c:v>0.315</c:v>
                </c:pt>
                <c:pt idx="1">
                  <c:v>0.2384</c:v>
                </c:pt>
                <c:pt idx="2">
                  <c:v>0.1534</c:v>
                </c:pt>
                <c:pt idx="3">
                  <c:v>0.0986000000000002</c:v>
                </c:pt>
                <c:pt idx="4">
                  <c:v>0.0986000000000002</c:v>
                </c:pt>
                <c:pt idx="5">
                  <c:v>0.0795000000000001</c:v>
                </c:pt>
                <c:pt idx="6">
                  <c:v>0.0137</c:v>
                </c:pt>
                <c:pt idx="7">
                  <c:v>0.0027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21438208"/>
        <c:axId val="121439744"/>
      </c:barChart>
      <c:catAx>
        <c:axId val="12143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21439744"/>
        <c:crosses val="autoZero"/>
        <c:auto val="1"/>
        <c:lblAlgn val="ctr"/>
        <c:lblOffset val="100"/>
        <c:noMultiLvlLbl val="0"/>
      </c:catAx>
      <c:valAx>
        <c:axId val="12143974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21438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母校帮助xx!$C$2</c:f>
              <c:strCache>
                <c:ptCount val="1"/>
                <c:pt idx="0">
                  <c:v>数据量</c:v>
                </c:pt>
              </c:strCache>
            </c:strRef>
          </c:tx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  <a:effectLst/>
          </c:spPr>
          <c:invertIfNegative val="0"/>
          <c:pictureOptions>
            <c:pictureFormat val="stack"/>
          </c:pictureOptions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母校帮助xx!$B$3:$B$8</c:f>
              <c:strCache>
                <c:ptCount val="6"/>
                <c:pt idx="0">
                  <c:v>求职技巧培训</c:v>
                </c:pt>
                <c:pt idx="1">
                  <c:v>增加职位信息</c:v>
                </c:pt>
                <c:pt idx="2">
                  <c:v>政策帮扶</c:v>
                </c:pt>
                <c:pt idx="3">
                  <c:v>求职补贴</c:v>
                </c:pt>
                <c:pt idx="4">
                  <c:v>求职心理辅导</c:v>
                </c:pt>
                <c:pt idx="5">
                  <c:v>其他</c:v>
                </c:pt>
              </c:strCache>
            </c:strRef>
          </c:cat>
          <c:val>
            <c:numRef>
              <c:f>母校帮助xx!$C$3:$C$8</c:f>
              <c:numCache>
                <c:formatCode>0.00%</c:formatCode>
                <c:ptCount val="6"/>
                <c:pt idx="0">
                  <c:v>0.2889</c:v>
                </c:pt>
                <c:pt idx="1">
                  <c:v>0.2583</c:v>
                </c:pt>
                <c:pt idx="2">
                  <c:v>0.158</c:v>
                </c:pt>
                <c:pt idx="3">
                  <c:v>0.1509</c:v>
                </c:pt>
                <c:pt idx="4">
                  <c:v>0.0932</c:v>
                </c:pt>
                <c:pt idx="5">
                  <c:v>0.0507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21480320"/>
        <c:axId val="121481856"/>
      </c:barChart>
      <c:catAx>
        <c:axId val="12148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21481856"/>
        <c:crosses val="autoZero"/>
        <c:auto val="1"/>
        <c:lblAlgn val="ctr"/>
        <c:lblOffset val="100"/>
        <c:noMultiLvlLbl val="0"/>
      </c:catAx>
      <c:valAx>
        <c:axId val="12148185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2148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就业率变化!$C$8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42D7FB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078324942988684"/>
                  <c:y val="0.009259259259259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286885245901639"/>
                  <c:y val="0.009259259259259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810571834258423"/>
                  <c:y val="-2.1218890680033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就业率变化!$D$7:$F$7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就业率变化!$D$8:$F$8</c:f>
              <c:numCache>
                <c:formatCode>0.00%</c:formatCode>
                <c:ptCount val="3"/>
                <c:pt idx="0">
                  <c:v>0.962100000000001</c:v>
                </c:pt>
                <c:pt idx="1">
                  <c:v>0.852100000000001</c:v>
                </c:pt>
                <c:pt idx="2">
                  <c:v>0.8885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1503104"/>
        <c:axId val="138826880"/>
      </c:barChart>
      <c:catAx>
        <c:axId val="12150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826880"/>
        <c:crosses val="autoZero"/>
        <c:auto val="1"/>
        <c:lblAlgn val="ctr"/>
        <c:lblOffset val="100"/>
        <c:noMultiLvlLbl val="0"/>
      </c:catAx>
      <c:valAx>
        <c:axId val="138826880"/>
        <c:scaling>
          <c:orientation val="minMax"/>
          <c:min val="0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150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  <a:effectLst/>
          </c:spPr>
          <c:invertIfNegative val="0"/>
          <c:pictureOptions>
            <c:pictureFormat val="stack"/>
          </c:pictureOptions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离职次数xx!$B$12:$F$12</c:f>
              <c:strCache>
                <c:ptCount val="5"/>
                <c:pt idx="0">
                  <c:v>0次</c:v>
                </c:pt>
                <c:pt idx="1">
                  <c:v>1次</c:v>
                </c:pt>
                <c:pt idx="2">
                  <c:v>2次</c:v>
                </c:pt>
                <c:pt idx="3">
                  <c:v>3次</c:v>
                </c:pt>
                <c:pt idx="4">
                  <c:v>4次及以上</c:v>
                </c:pt>
              </c:strCache>
            </c:strRef>
          </c:cat>
          <c:val>
            <c:numRef>
              <c:f>离职次数xx!$B$14:$F$14</c:f>
              <c:numCache>
                <c:formatCode>0.00%</c:formatCode>
                <c:ptCount val="5"/>
                <c:pt idx="0">
                  <c:v>0.751200000000001</c:v>
                </c:pt>
                <c:pt idx="1">
                  <c:v>0.1496</c:v>
                </c:pt>
                <c:pt idx="2">
                  <c:v>0.0764</c:v>
                </c:pt>
                <c:pt idx="3">
                  <c:v>0.0211</c:v>
                </c:pt>
                <c:pt idx="4">
                  <c:v>0.0016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982016"/>
        <c:axId val="150987904"/>
      </c:barChart>
      <c:catAx>
        <c:axId val="15098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0987904"/>
        <c:crosses val="autoZero"/>
        <c:auto val="1"/>
        <c:lblAlgn val="ctr"/>
        <c:lblOffset val="100"/>
        <c:noMultiLvlLbl val="0"/>
      </c:catAx>
      <c:valAx>
        <c:axId val="15098790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098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专业相关度变化!$C$8</c:f>
              <c:strCache>
                <c:ptCount val="1"/>
                <c:pt idx="0">
                  <c:v>本科毕业生</c:v>
                </c:pt>
              </c:strCache>
            </c:strRef>
          </c:tx>
          <c:spPr>
            <a:solidFill>
              <a:srgbClr val="42D7FB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582870788692395"/>
                  <c:y val="-4.2437781360066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0136612021857923"/>
                  <c:y val="0.009259259259259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282324340604965"/>
                  <c:y val="0.009259259259259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专业相关度变化!$D$7:$F$7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专业相关度变化!$D$8:$F$8</c:f>
              <c:numCache>
                <c:formatCode>0.00%</c:formatCode>
                <c:ptCount val="3"/>
                <c:pt idx="0">
                  <c:v>0.6951</c:v>
                </c:pt>
                <c:pt idx="1">
                  <c:v>0.7904</c:v>
                </c:pt>
                <c:pt idx="2">
                  <c:v>0.858600000000001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8860416"/>
        <c:axId val="138861952"/>
      </c:barChart>
      <c:catAx>
        <c:axId val="13886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861952"/>
        <c:crosses val="autoZero"/>
        <c:auto val="1"/>
        <c:lblAlgn val="ctr"/>
        <c:lblOffset val="100"/>
        <c:noMultiLvlLbl val="0"/>
      </c:catAx>
      <c:valAx>
        <c:axId val="138861952"/>
        <c:scaling>
          <c:orientation val="minMax"/>
          <c:min val="0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86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'升学率变化 (2)'!$N$9</c:f>
              <c:strCache>
                <c:ptCount val="1"/>
                <c:pt idx="0">
                  <c:v>升学率</c:v>
                </c:pt>
              </c:strCache>
            </c:strRef>
          </c:tx>
          <c:spPr>
            <a:solidFill>
              <a:srgbClr val="42D7F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'升学率变化 (2)'!$L$10:$L$12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'升学率变化 (2)'!$N$10:$N$12</c:f>
              <c:numCache>
                <c:formatCode>0.00%</c:formatCode>
                <c:ptCount val="3"/>
                <c:pt idx="0">
                  <c:v>0.0739</c:v>
                </c:pt>
                <c:pt idx="1">
                  <c:v>0.0725</c:v>
                </c:pt>
                <c:pt idx="2">
                  <c:v>0.0908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9238400"/>
        <c:axId val="139240192"/>
      </c:barChart>
      <c:catAx>
        <c:axId val="13923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9240192"/>
        <c:crosses val="autoZero"/>
        <c:auto val="1"/>
        <c:lblAlgn val="ctr"/>
        <c:lblOffset val="100"/>
        <c:noMultiLvlLbl val="0"/>
      </c:catAx>
      <c:valAx>
        <c:axId val="139240192"/>
        <c:scaling>
          <c:orientation val="minMax"/>
          <c:max val="0.1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9238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创业人数变化!$F$5</c:f>
              <c:strCache>
                <c:ptCount val="1"/>
                <c:pt idx="0">
                  <c:v>人数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  <a:effectLst/>
          </c:spPr>
          <c:invertIfNegative val="0"/>
          <c:pictureOptions>
            <c:pictureFormat val="stack"/>
          </c:pictureOptions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创业人数变化!$G$4:$I$4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创业人数变化!$G$5:$I$5</c:f>
              <c:numCache>
                <c:formatCode>0.00%</c:formatCode>
                <c:ptCount val="3"/>
                <c:pt idx="0">
                  <c:v>0.9202</c:v>
                </c:pt>
                <c:pt idx="1">
                  <c:v>0.861200000000001</c:v>
                </c:pt>
                <c:pt idx="2">
                  <c:v>0.609700000000001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axId val="139265920"/>
        <c:axId val="139267456"/>
      </c:barChart>
      <c:catAx>
        <c:axId val="139265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9267456"/>
        <c:crosses val="autoZero"/>
        <c:auto val="1"/>
        <c:lblAlgn val="ctr"/>
        <c:lblOffset val="100"/>
        <c:noMultiLvlLbl val="0"/>
      </c:catAx>
      <c:valAx>
        <c:axId val="139267456"/>
        <c:scaling>
          <c:orientation val="minMax"/>
        </c:scaling>
        <c:delete val="0"/>
        <c:axPos val="b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926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6C3E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求职成本xx!$A$5:$A$10</c:f>
              <c:strCache>
                <c:ptCount val="6"/>
                <c:pt idx="0">
                  <c:v>2000元以下</c:v>
                </c:pt>
                <c:pt idx="1">
                  <c:v>2001-4000元</c:v>
                </c:pt>
                <c:pt idx="2">
                  <c:v>4001 -6000元</c:v>
                </c:pt>
                <c:pt idx="3">
                  <c:v>6001 -8000元</c:v>
                </c:pt>
                <c:pt idx="4">
                  <c:v>8001 -10000元</c:v>
                </c:pt>
                <c:pt idx="5">
                  <c:v>1万元以上</c:v>
                </c:pt>
              </c:strCache>
            </c:strRef>
          </c:cat>
          <c:val>
            <c:numRef>
              <c:f>求职成本xx!$C$5:$C$10</c:f>
              <c:numCache>
                <c:formatCode>0.00%</c:formatCode>
                <c:ptCount val="6"/>
                <c:pt idx="0">
                  <c:v>0.7837</c:v>
                </c:pt>
                <c:pt idx="1">
                  <c:v>0.1106</c:v>
                </c:pt>
                <c:pt idx="2">
                  <c:v>0.0585</c:v>
                </c:pt>
                <c:pt idx="3">
                  <c:v>0.00650000000000001</c:v>
                </c:pt>
                <c:pt idx="4">
                  <c:v>0.0081</c:v>
                </c:pt>
                <c:pt idx="5">
                  <c:v>0.0325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151474944"/>
        <c:axId val="151476480"/>
      </c:barChart>
      <c:catAx>
        <c:axId val="15147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1476480"/>
        <c:crosses val="autoZero"/>
        <c:auto val="1"/>
        <c:lblAlgn val="ctr"/>
        <c:lblOffset val="100"/>
        <c:noMultiLvlLbl val="0"/>
      </c:catAx>
      <c:valAx>
        <c:axId val="15147648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147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900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7ACCF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求职关注因素xx!$A$33:$A$42</c:f>
              <c:strCache>
                <c:ptCount val="10"/>
                <c:pt idx="0">
                  <c:v>薪酬水平</c:v>
                </c:pt>
                <c:pt idx="1">
                  <c:v>发展空间</c:v>
                </c:pt>
                <c:pt idx="2">
                  <c:v>工作稳定度</c:v>
                </c:pt>
                <c:pt idx="3">
                  <c:v>社会保障</c:v>
                </c:pt>
                <c:pt idx="4">
                  <c:v>工作环境</c:v>
                </c:pt>
                <c:pt idx="5">
                  <c:v>就业地理位置</c:v>
                </c:pt>
                <c:pt idx="6">
                  <c:v>单位培训</c:v>
                </c:pt>
                <c:pt idx="7">
                  <c:v>社会声望</c:v>
                </c:pt>
                <c:pt idx="8">
                  <c:v>父母期望</c:v>
                </c:pt>
                <c:pt idx="9">
                  <c:v>其他</c:v>
                </c:pt>
              </c:strCache>
            </c:strRef>
          </c:cat>
          <c:val>
            <c:numRef>
              <c:f>求职关注因素xx!$C$33:$C$42</c:f>
              <c:numCache>
                <c:formatCode>0.00%</c:formatCode>
                <c:ptCount val="10"/>
                <c:pt idx="0">
                  <c:v>0.267</c:v>
                </c:pt>
                <c:pt idx="1">
                  <c:v>0.1606</c:v>
                </c:pt>
                <c:pt idx="2">
                  <c:v>0.1485</c:v>
                </c:pt>
                <c:pt idx="3">
                  <c:v>0.1279</c:v>
                </c:pt>
                <c:pt idx="4">
                  <c:v>0.1251</c:v>
                </c:pt>
                <c:pt idx="5">
                  <c:v>0.1176</c:v>
                </c:pt>
                <c:pt idx="6">
                  <c:v>0.0205</c:v>
                </c:pt>
                <c:pt idx="7">
                  <c:v>0.0131</c:v>
                </c:pt>
                <c:pt idx="8">
                  <c:v>0.0131</c:v>
                </c:pt>
                <c:pt idx="9">
                  <c:v>0.00650000000000001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51508864"/>
        <c:axId val="151510400"/>
      </c:barChart>
      <c:catAx>
        <c:axId val="151508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1510400"/>
        <c:crosses val="autoZero"/>
        <c:auto val="1"/>
        <c:lblAlgn val="ctr"/>
        <c:lblOffset val="100"/>
        <c:noMultiLvlLbl val="0"/>
      </c:catAx>
      <c:valAx>
        <c:axId val="151510400"/>
        <c:scaling>
          <c:orientation val="minMax"/>
        </c:scaling>
        <c:delete val="1"/>
        <c:axPos val="b"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150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900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3600975581662"/>
          <c:y val="0.0236793210127085"/>
          <c:w val="0.731417310314347"/>
          <c:h val="0.936998854524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6C3E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成功就业的因素xx!$A$1:$A$12</c:f>
              <c:strCache>
                <c:ptCount val="12"/>
                <c:pt idx="0">
                  <c:v>学历</c:v>
                </c:pt>
                <c:pt idx="1">
                  <c:v>个人素质</c:v>
                </c:pt>
                <c:pt idx="2">
                  <c:v>实践/工作经验</c:v>
                </c:pt>
                <c:pt idx="3">
                  <c:v>专业背景</c:v>
                </c:pt>
                <c:pt idx="4">
                  <c:v>职业资格证书</c:v>
                </c:pt>
                <c:pt idx="5">
                  <c:v>学业成绩</c:v>
                </c:pt>
                <c:pt idx="6">
                  <c:v>社会关系</c:v>
                </c:pt>
                <c:pt idx="7">
                  <c:v>母校声誉</c:v>
                </c:pt>
                <c:pt idx="8">
                  <c:v>职业认知</c:v>
                </c:pt>
                <c:pt idx="9">
                  <c:v>其他</c:v>
                </c:pt>
                <c:pt idx="10">
                  <c:v>担任学生干部</c:v>
                </c:pt>
                <c:pt idx="11">
                  <c:v>竞赛获奖经历</c:v>
                </c:pt>
              </c:strCache>
            </c:strRef>
          </c:cat>
          <c:val>
            <c:numRef>
              <c:f>成功就业的因素xx!$B$1:$B$12</c:f>
              <c:numCache>
                <c:formatCode>0.00%</c:formatCode>
                <c:ptCount val="12"/>
                <c:pt idx="0">
                  <c:v>0.1982</c:v>
                </c:pt>
                <c:pt idx="1">
                  <c:v>0.1876</c:v>
                </c:pt>
                <c:pt idx="2">
                  <c:v>0.1512</c:v>
                </c:pt>
                <c:pt idx="3">
                  <c:v>0.1018</c:v>
                </c:pt>
                <c:pt idx="4">
                  <c:v>0.0835000000000002</c:v>
                </c:pt>
                <c:pt idx="5">
                  <c:v>0.0771</c:v>
                </c:pt>
                <c:pt idx="6">
                  <c:v>0.0553000000000001</c:v>
                </c:pt>
                <c:pt idx="7">
                  <c:v>0.0547000000000001</c:v>
                </c:pt>
                <c:pt idx="8">
                  <c:v>0.0341</c:v>
                </c:pt>
                <c:pt idx="9">
                  <c:v>0.0276</c:v>
                </c:pt>
                <c:pt idx="10">
                  <c:v>0.0218</c:v>
                </c:pt>
                <c:pt idx="11">
                  <c:v>0.0071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53545728"/>
        <c:axId val="153666304"/>
      </c:barChart>
      <c:catAx>
        <c:axId val="153545728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3666304"/>
        <c:crosses val="autoZero"/>
        <c:auto val="1"/>
        <c:lblAlgn val="ctr"/>
        <c:lblOffset val="100"/>
        <c:noMultiLvlLbl val="0"/>
      </c:catAx>
      <c:valAx>
        <c:axId val="153666304"/>
        <c:scaling>
          <c:orientation val="minMax"/>
          <c:max val="0.25"/>
        </c:scaling>
        <c:delete val="1"/>
        <c:axPos val="b"/>
        <c:numFmt formatCode="0%" sourceLinked="0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354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900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415230503596"/>
          <c:y val="0.0125363055905275"/>
          <c:w val="0.690953815958191"/>
          <c:h val="0.987463694409473"/>
        </c:manualLayout>
      </c:layout>
      <c:barChart>
        <c:barDir val="bar"/>
        <c:grouping val="clustered"/>
        <c:varyColors val="0"/>
        <c:ser>
          <c:idx val="1"/>
          <c:order val="1"/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求职困难原因xx!$B$2:$B$10</c:f>
              <c:strCache>
                <c:ptCount val="9"/>
                <c:pt idx="0">
                  <c:v>缺乏实践经验</c:v>
                </c:pt>
                <c:pt idx="1">
                  <c:v>适合岗位不多</c:v>
                </c:pt>
                <c:pt idx="2">
                  <c:v>待遇条件不符合预期</c:v>
                </c:pt>
                <c:pt idx="3">
                  <c:v>招聘信息渠道太少</c:v>
                </c:pt>
                <c:pt idx="4">
                  <c:v>社会关系缺乏</c:v>
                </c:pt>
                <c:pt idx="5">
                  <c:v>就业能力不足</c:v>
                </c:pt>
                <c:pt idx="6">
                  <c:v>存在就业歧视</c:v>
                </c:pt>
                <c:pt idx="7">
                  <c:v>其他</c:v>
                </c:pt>
                <c:pt idx="8">
                  <c:v>与父母意愿相悖</c:v>
                </c:pt>
              </c:strCache>
            </c:strRef>
          </c:cat>
          <c:val>
            <c:numRef>
              <c:f>求职困难原因xx!$D$2:$D$10</c:f>
              <c:numCache>
                <c:formatCode>0.00%</c:formatCode>
                <c:ptCount val="9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  <c:pt idx="3">
                  <c:v>0.25</c:v>
                </c:pt>
                <c:pt idx="4">
                  <c:v>0.25</c:v>
                </c:pt>
                <c:pt idx="5">
                  <c:v>0.25</c:v>
                </c:pt>
                <c:pt idx="6">
                  <c:v>0.25</c:v>
                </c:pt>
                <c:pt idx="7">
                  <c:v>0.25</c:v>
                </c:pt>
                <c:pt idx="8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53978368"/>
        <c:axId val="153979904"/>
      </c:barChart>
      <c:barChart>
        <c:barDir val="bar"/>
        <c:grouping val="clustered"/>
        <c:varyColors val="0"/>
        <c:ser>
          <c:idx val="0"/>
          <c:order val="0"/>
          <c:spPr>
            <a:solidFill>
              <a:srgbClr val="75BBDE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AC7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40EB6A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42D7FB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AC7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40EB6A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42D7FB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AC7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40EB6A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42D7FB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175515577007459"/>
                  <c:y val="0.002626395272488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23782360684511"/>
                  <c:y val="-0.002626395272488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72049144361562"/>
                  <c:y val="-9.6300047524879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329091706888986"/>
                  <c:y val="0.00525279054497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41465555068012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445370776656428"/>
                  <c:y val="0.002626395272488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563843791136463"/>
                  <c:y val="0.0078791858174655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669153137340939"/>
                  <c:y val="-2.407501188121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64282580078982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r">
                  <a:defRPr lang="zh-CN" sz="900" b="0" i="0" u="none" strike="noStrike" kern="1200" baseline="0">
                    <a:solidFill>
                      <a:schemeClr val="tx1"/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求职困难原因xx!$B$2:$B$10</c:f>
              <c:strCache>
                <c:ptCount val="9"/>
                <c:pt idx="0">
                  <c:v>缺乏实践经验</c:v>
                </c:pt>
                <c:pt idx="1">
                  <c:v>适合岗位不多</c:v>
                </c:pt>
                <c:pt idx="2">
                  <c:v>待遇条件不符合预期</c:v>
                </c:pt>
                <c:pt idx="3">
                  <c:v>招聘信息渠道太少</c:v>
                </c:pt>
                <c:pt idx="4">
                  <c:v>社会关系缺乏</c:v>
                </c:pt>
                <c:pt idx="5">
                  <c:v>就业能力不足</c:v>
                </c:pt>
                <c:pt idx="6">
                  <c:v>存在就业歧视</c:v>
                </c:pt>
                <c:pt idx="7">
                  <c:v>其他</c:v>
                </c:pt>
                <c:pt idx="8">
                  <c:v>与父母意愿相悖</c:v>
                </c:pt>
              </c:strCache>
            </c:strRef>
          </c:cat>
          <c:val>
            <c:numRef>
              <c:f>求职困难原因xx!$C$2:$C$10</c:f>
              <c:numCache>
                <c:formatCode>0.00%</c:formatCode>
                <c:ptCount val="9"/>
                <c:pt idx="0">
                  <c:v>0.2448</c:v>
                </c:pt>
                <c:pt idx="1">
                  <c:v>0.1674</c:v>
                </c:pt>
                <c:pt idx="2">
                  <c:v>0.1538</c:v>
                </c:pt>
                <c:pt idx="3">
                  <c:v>0.1318</c:v>
                </c:pt>
                <c:pt idx="4">
                  <c:v>0.1036</c:v>
                </c:pt>
                <c:pt idx="5">
                  <c:v>0.0962</c:v>
                </c:pt>
                <c:pt idx="6">
                  <c:v>0.0554</c:v>
                </c:pt>
                <c:pt idx="7">
                  <c:v>0.0178</c:v>
                </c:pt>
                <c:pt idx="8">
                  <c:v>0.0293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57812992"/>
        <c:axId val="157811456"/>
      </c:barChart>
      <c:catAx>
        <c:axId val="153978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3979904"/>
        <c:crosses val="autoZero"/>
        <c:auto val="1"/>
        <c:lblAlgn val="ctr"/>
        <c:lblOffset val="100"/>
        <c:noMultiLvlLbl val="0"/>
      </c:catAx>
      <c:valAx>
        <c:axId val="153979904"/>
        <c:scaling>
          <c:orientation val="minMax"/>
          <c:max val="0.25"/>
          <c:min val="0"/>
        </c:scaling>
        <c:delete val="1"/>
        <c:axPos val="b"/>
        <c:numFmt formatCode="0.00%" sourceLinked="1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3978368"/>
        <c:crosses val="autoZero"/>
        <c:crossBetween val="between"/>
      </c:valAx>
      <c:valAx>
        <c:axId val="157811456"/>
        <c:scaling>
          <c:orientation val="minMax"/>
        </c:scaling>
        <c:delete val="1"/>
        <c:axPos val="t"/>
        <c:numFmt formatCode="0.00%" sourceLinked="1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7812992"/>
        <c:crosses val="max"/>
        <c:crossBetween val="between"/>
      </c:valAx>
      <c:catAx>
        <c:axId val="157812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78114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900">
          <a:solidFill>
            <a:schemeClr val="tx1"/>
          </a:solidFill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升学与出国xx!$G$12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rgbClr val="7AC2E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升学与出国xx!$F$13:$F$14</c:f>
              <c:strCache>
                <c:ptCount val="2"/>
                <c:pt idx="0">
                  <c:v>升学</c:v>
                </c:pt>
                <c:pt idx="1">
                  <c:v>出国</c:v>
                </c:pt>
              </c:strCache>
            </c:strRef>
          </c:cat>
          <c:val>
            <c:numRef>
              <c:f>升学与出国xx!$G$13:$G$14</c:f>
              <c:numCache>
                <c:formatCode>General</c:formatCode>
                <c:ptCount val="2"/>
                <c:pt idx="0">
                  <c:v>132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859840"/>
        <c:axId val="157861376"/>
      </c:barChart>
      <c:lineChart>
        <c:grouping val="standard"/>
        <c:varyColors val="0"/>
        <c:ser>
          <c:idx val="1"/>
          <c:order val="1"/>
          <c:tx>
            <c:strRef>
              <c:f>升学与出国xx!$H$12</c:f>
              <c:strCache>
                <c:ptCount val="1"/>
                <c:pt idx="0">
                  <c:v>比例</c:v>
                </c:pt>
              </c:strCache>
            </c:strRef>
          </c:tx>
          <c:spPr>
            <a:ln w="28575" cap="rnd" cmpd="sng" algn="ctr">
              <a:solidFill>
                <a:srgbClr val="FAC70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升学与出国xx!$F$13:$F$14</c:f>
              <c:strCache>
                <c:ptCount val="2"/>
                <c:pt idx="0">
                  <c:v>升学</c:v>
                </c:pt>
                <c:pt idx="1">
                  <c:v>出国</c:v>
                </c:pt>
              </c:strCache>
            </c:strRef>
          </c:cat>
          <c:val>
            <c:numRef>
              <c:f>升学与出国xx!$H$13:$H$14</c:f>
              <c:numCache>
                <c:formatCode>0.00%</c:formatCode>
                <c:ptCount val="2"/>
                <c:pt idx="0">
                  <c:v>0.0908465244322092</c:v>
                </c:pt>
                <c:pt idx="1">
                  <c:v>0.00412938747419134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57862912"/>
        <c:axId val="157868800"/>
      </c:lineChart>
      <c:catAx>
        <c:axId val="15785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7861376"/>
        <c:crosses val="autoZero"/>
        <c:auto val="1"/>
        <c:lblAlgn val="ctr"/>
        <c:lblOffset val="100"/>
        <c:noMultiLvlLbl val="0"/>
      </c:catAx>
      <c:valAx>
        <c:axId val="157861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7859840"/>
        <c:crosses val="autoZero"/>
        <c:crossBetween val="between"/>
      </c:valAx>
      <c:catAx>
        <c:axId val="157862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7868800"/>
        <c:crosses val="autoZero"/>
        <c:auto val="1"/>
        <c:lblAlgn val="ctr"/>
        <c:lblOffset val="100"/>
        <c:noMultiLvlLbl val="0"/>
      </c:catAx>
      <c:valAx>
        <c:axId val="157868800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7862912"/>
        <c:crosses val="max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  <a:effectLst/>
          </c:spPr>
          <c:invertIfNegative val="0"/>
          <c:pictureOptions>
            <c:pictureFormat val="stack"/>
          </c:pictureOptions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升学原因xx!$B$19:$B$23</c:f>
              <c:strCache>
                <c:ptCount val="5"/>
                <c:pt idx="0">
                  <c:v>提升学历层次</c:v>
                </c:pt>
                <c:pt idx="1">
                  <c:v>深入学习专业</c:v>
                </c:pt>
                <c:pt idx="2">
                  <c:v>提升综合能力</c:v>
                </c:pt>
                <c:pt idx="3">
                  <c:v>提升就业竞争力</c:v>
                </c:pt>
                <c:pt idx="4">
                  <c:v>延缓择业困难</c:v>
                </c:pt>
              </c:strCache>
            </c:strRef>
          </c:cat>
          <c:val>
            <c:numRef>
              <c:f>升学原因xx!$D$19:$D$23</c:f>
              <c:numCache>
                <c:formatCode>0.00%</c:formatCode>
                <c:ptCount val="5"/>
                <c:pt idx="0">
                  <c:v>0.4632</c:v>
                </c:pt>
                <c:pt idx="1">
                  <c:v>0.2</c:v>
                </c:pt>
                <c:pt idx="2">
                  <c:v>0.1474</c:v>
                </c:pt>
                <c:pt idx="3">
                  <c:v>0.1474</c:v>
                </c:pt>
                <c:pt idx="4">
                  <c:v>0.0421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59070080"/>
        <c:axId val="159071616"/>
      </c:barChart>
      <c:catAx>
        <c:axId val="159070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9071616"/>
        <c:crosses val="autoZero"/>
        <c:auto val="1"/>
        <c:lblAlgn val="ctr"/>
        <c:lblOffset val="100"/>
        <c:noMultiLvlLbl val="0"/>
      </c:catAx>
      <c:valAx>
        <c:axId val="159071616"/>
        <c:scaling>
          <c:orientation val="minMax"/>
        </c:scaling>
        <c:delete val="0"/>
        <c:axPos val="b"/>
        <c:numFmt formatCode="0%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9070080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900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  <a:effectLst/>
          </c:spPr>
          <c:invertIfNegative val="0"/>
          <c:pictureOptions>
            <c:pictureFormat val="stack"/>
          </c:pictureOptions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出国原因xx!$B$2:$B$6</c:f>
              <c:strCache>
                <c:ptCount val="5"/>
                <c:pt idx="0">
                  <c:v>增长见识，了解他国文化</c:v>
                </c:pt>
                <c:pt idx="1">
                  <c:v>提升综合竞争力</c:v>
                </c:pt>
                <c:pt idx="2">
                  <c:v>教育条件及方式好</c:v>
                </c:pt>
                <c:pt idx="3">
                  <c:v>教学、科研水平先进</c:v>
                </c:pt>
                <c:pt idx="4">
                  <c:v>获得国外发展机会</c:v>
                </c:pt>
              </c:strCache>
            </c:strRef>
          </c:cat>
          <c:val>
            <c:numRef>
              <c:f>出国原因xx!$C$2:$C$6</c:f>
              <c:numCache>
                <c:formatCode>0.00%</c:formatCode>
                <c:ptCount val="5"/>
                <c:pt idx="0">
                  <c:v>0.3077</c:v>
                </c:pt>
                <c:pt idx="1">
                  <c:v>0.3077</c:v>
                </c:pt>
                <c:pt idx="2">
                  <c:v>0.2308</c:v>
                </c:pt>
                <c:pt idx="3">
                  <c:v>0.0769</c:v>
                </c:pt>
                <c:pt idx="4">
                  <c:v>0.0769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59079424"/>
        <c:axId val="159113984"/>
      </c:barChart>
      <c:catAx>
        <c:axId val="159079424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9113984"/>
        <c:crosses val="autoZero"/>
        <c:auto val="1"/>
        <c:lblAlgn val="ctr"/>
        <c:lblOffset val="100"/>
        <c:noMultiLvlLbl val="0"/>
      </c:catAx>
      <c:valAx>
        <c:axId val="159113984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0%" sourceLinked="0"/>
        <c:majorTickMark val="in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15907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微软雅黑" panose="020B0503020204020204" pitchFamily="2" charset="-122"/>
          <a:ea typeface="微软雅黑" panose="020B0503020204020204" pitchFamily="2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3D9A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贝贝里</cp:lastModifiedBy>
  <dcterms:modified xsi:type="dcterms:W3CDTF">2019-01-16T03:35:52Z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