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30778526"/>
      <w:bookmarkStart w:id="1" w:name="_Toc534985174"/>
      <w:bookmarkStart w:id="90" w:name="_GoBack"/>
      <w:bookmarkEnd w:id="90"/>
      <w:r>
        <w:rPr>
          <w:rFonts w:hint="eastAsia"/>
        </w:rPr>
        <w:t>第五部分  毕业生</w:t>
      </w:r>
      <w:bookmarkEnd w:id="0"/>
      <w:r>
        <w:rPr>
          <w:rFonts w:hint="eastAsia"/>
        </w:rPr>
        <w:t>的评价</w:t>
      </w:r>
      <w:bookmarkEnd w:id="1"/>
    </w:p>
    <w:p>
      <w:pPr>
        <w:pStyle w:val="3"/>
      </w:pPr>
      <w:bookmarkStart w:id="2" w:name="_Toc530778527"/>
      <w:bookmarkStart w:id="3" w:name="_Toc534985175"/>
      <w:r>
        <w:rPr>
          <w:rFonts w:hint="eastAsia"/>
        </w:rPr>
        <w:t>一、</w:t>
      </w:r>
      <w:r>
        <w:rPr>
          <w:rFonts w:cs="宋体"/>
        </w:rPr>
        <w:t>毕业</w:t>
      </w:r>
      <w:r>
        <w:rPr>
          <w:rFonts w:hint="eastAsia"/>
        </w:rPr>
        <w:t>生</w:t>
      </w:r>
      <w:r>
        <w:rPr>
          <w:rFonts w:cs="宋体"/>
        </w:rPr>
        <w:t>满意度评价</w:t>
      </w:r>
      <w:bookmarkEnd w:id="2"/>
      <w:bookmarkEnd w:id="3"/>
    </w:p>
    <w:p>
      <w:pPr>
        <w:pStyle w:val="4"/>
      </w:pPr>
      <w:bookmarkStart w:id="4" w:name="_Toc530778528"/>
      <w:bookmarkStart w:id="5" w:name="_Toc534985176"/>
      <w:r>
        <w:rPr>
          <w:rFonts w:hint="eastAsia"/>
        </w:rPr>
        <w:t>（一）教育教学满意度</w:t>
      </w:r>
      <w:bookmarkEnd w:id="4"/>
      <w:bookmarkEnd w:id="5"/>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毕业生对教育教学的满意度结果表明，对教师授课的满意度最高（</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6.05%），其次对人才培养满意度（92.92%），对专业及课程设置的满意度（</w:t>
      </w:r>
      <w:r>
        <w:rPr>
          <w:color w:val="000000" w:themeColor="text1"/>
          <w14:textFill>
            <w14:solidFill>
              <w14:schemeClr w14:val="tx1"/>
            </w14:solidFill>
          </w14:textFill>
        </w:rPr>
        <w:t>92.</w:t>
      </w:r>
      <w:r>
        <w:rPr>
          <w:rFonts w:hint="eastAsia"/>
          <w:color w:val="000000" w:themeColor="text1"/>
          <w14:textFill>
            <w14:solidFill>
              <w14:schemeClr w14:val="tx1"/>
            </w14:solidFill>
          </w14:textFill>
        </w:rPr>
        <w:t>26%），对实践教学的满意度（89.94%）。</w:t>
      </w:r>
    </w:p>
    <w:p>
      <w:pPr>
        <w:keepNext/>
        <w:jc w:val="center"/>
      </w:pPr>
      <w:r>
        <w:drawing>
          <wp:inline distT="0" distB="0" distL="0" distR="0">
            <wp:extent cx="3171825" cy="3199130"/>
            <wp:effectExtent l="0" t="0" r="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5" cstate="print"/>
                    <a:stretch>
                      <a:fillRect/>
                    </a:stretch>
                  </pic:blipFill>
                  <pic:spPr>
                    <a:xfrm>
                      <a:off x="0" y="0"/>
                      <a:ext cx="3180886" cy="3208729"/>
                    </a:xfrm>
                    <a:prstGeom prst="rect">
                      <a:avLst/>
                    </a:prstGeom>
                  </pic:spPr>
                </pic:pic>
              </a:graphicData>
            </a:graphic>
          </wp:inline>
        </w:drawing>
      </w:r>
    </w:p>
    <w:p>
      <w:pPr>
        <w:pStyle w:val="6"/>
        <w:jc w:val="center"/>
      </w:pPr>
      <w:r>
        <w:rPr>
          <w:rFonts w:hint="eastAsia"/>
        </w:rPr>
        <w:t>图5-</w:t>
      </w:r>
      <w:r>
        <w:fldChar w:fldCharType="begin"/>
      </w:r>
      <w:r>
        <w:instrText xml:space="preserve"> </w:instrText>
      </w:r>
      <w:r>
        <w:rPr>
          <w:rFonts w:hint="eastAsia"/>
        </w:rPr>
        <w:instrText xml:space="preserve">SEQ 图5- \* ARABIC</w:instrText>
      </w:r>
      <w:r>
        <w:instrText xml:space="preserve"> </w:instrText>
      </w:r>
      <w:r>
        <w:fldChar w:fldCharType="separate"/>
      </w:r>
      <w:r>
        <w:t>1</w:t>
      </w:r>
      <w:r>
        <w:fldChar w:fldCharType="end"/>
      </w:r>
      <w:r>
        <w:t xml:space="preserve"> </w:t>
      </w:r>
      <w:r>
        <w:rPr>
          <w:rFonts w:hint="eastAsia"/>
        </w:rPr>
        <w:t>2018届毕业生对母校教育教学满意度</w:t>
      </w:r>
    </w:p>
    <w:p>
      <w:pPr>
        <w:pStyle w:val="4"/>
      </w:pPr>
      <w:bookmarkStart w:id="6" w:name="_Toc534985177"/>
      <w:bookmarkStart w:id="7" w:name="_Toc530778529"/>
      <w:r>
        <w:rPr>
          <w:rFonts w:hint="eastAsia"/>
        </w:rPr>
        <w:t>（二）就业服务满意度</w:t>
      </w:r>
      <w:bookmarkEnd w:id="6"/>
      <w:bookmarkEnd w:id="7"/>
    </w:p>
    <w:p>
      <w:pPr>
        <w:ind w:firstLine="480" w:firstLineChars="200"/>
        <w:rPr>
          <w:color w:val="FF0000"/>
        </w:rPr>
      </w:pPr>
      <w:r>
        <w:rPr>
          <w:rFonts w:hint="eastAsia"/>
          <w:color w:val="000000" w:themeColor="text1"/>
          <w14:textFill>
            <w14:solidFill>
              <w14:schemeClr w14:val="tx1"/>
            </w14:solidFill>
          </w14:textFill>
        </w:rPr>
        <w:t>毕业生对就业服务的满意度结果表明，综合得分</w:t>
      </w:r>
      <w:r>
        <w:rPr>
          <w:color w:val="000000" w:themeColor="text1"/>
          <w:vertAlign w:val="superscript"/>
          <w14:textFill>
            <w14:solidFill>
              <w14:schemeClr w14:val="tx1"/>
            </w14:solidFill>
          </w14:textFill>
        </w:rPr>
        <w:t>[</w:t>
      </w:r>
      <w:r>
        <w:rPr>
          <w:rStyle w:val="9"/>
          <w:color w:val="000000" w:themeColor="text1"/>
          <w14:textFill>
            <w14:solidFill>
              <w14:schemeClr w14:val="tx1"/>
            </w14:solidFill>
          </w14:textFill>
        </w:rPr>
        <w:footnoteReference w:id="0"/>
      </w:r>
      <w:r>
        <w:rPr>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最高的是就业信息提供与发布（4.</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9分），其次是校园招聘活动（4.</w:t>
      </w:r>
      <w:r>
        <w:rPr>
          <w:color w:val="000000" w:themeColor="text1"/>
          <w14:textFill>
            <w14:solidFill>
              <w14:schemeClr w14:val="tx1"/>
            </w14:solidFill>
          </w14:textFill>
        </w:rPr>
        <w:t>35</w:t>
      </w:r>
      <w:r>
        <w:rPr>
          <w:rFonts w:hint="eastAsia"/>
          <w:color w:val="000000" w:themeColor="text1"/>
          <w14:textFill>
            <w14:solidFill>
              <w14:schemeClr w14:val="tx1"/>
            </w14:solidFill>
          </w14:textFill>
        </w:rPr>
        <w:t>分）。综合得分较低的是职业咨询/辅导、就业困难群体帮扶，得分分别为4.0</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分、4.05分，说明这两方面还需加强。</w:t>
      </w:r>
    </w:p>
    <w:p>
      <w:pPr>
        <w:pStyle w:val="6"/>
        <w:keepNext/>
        <w:jc w:val="center"/>
      </w:pPr>
    </w:p>
    <w:p>
      <w:pPr>
        <w:pStyle w:val="6"/>
        <w:keepNext/>
        <w:jc w:val="center"/>
      </w:pPr>
      <w:r>
        <w:rPr>
          <w:rFonts w:hint="eastAsia"/>
        </w:rPr>
        <w:t>表5-</w:t>
      </w:r>
      <w:r>
        <w:fldChar w:fldCharType="begin"/>
      </w:r>
      <w:r>
        <w:instrText xml:space="preserve"> </w:instrText>
      </w:r>
      <w:r>
        <w:rPr>
          <w:rFonts w:hint="eastAsia"/>
        </w:rPr>
        <w:instrText xml:space="preserve">SEQ 表5- \* ARABIC</w:instrText>
      </w:r>
      <w:r>
        <w:instrText xml:space="preserve"> </w:instrText>
      </w:r>
      <w:r>
        <w:fldChar w:fldCharType="separate"/>
      </w:r>
      <w:r>
        <w:t>1</w:t>
      </w:r>
      <w:r>
        <w:fldChar w:fldCharType="end"/>
      </w:r>
      <w:r>
        <w:t xml:space="preserve"> </w:t>
      </w:r>
      <w:r>
        <w:rPr>
          <w:rFonts w:hint="eastAsia"/>
        </w:rPr>
        <w:t>2018届毕业生对各项就业服务的评价</w:t>
      </w:r>
    </w:p>
    <w:tbl>
      <w:tblPr>
        <w:tblStyle w:val="10"/>
        <w:tblW w:w="8286" w:type="dxa"/>
        <w:jc w:val="center"/>
        <w:tblInd w:w="0" w:type="dxa"/>
        <w:tblLayout w:type="fixed"/>
        <w:tblCellMar>
          <w:top w:w="0" w:type="dxa"/>
          <w:left w:w="108" w:type="dxa"/>
          <w:bottom w:w="0" w:type="dxa"/>
          <w:right w:w="108" w:type="dxa"/>
        </w:tblCellMar>
      </w:tblPr>
      <w:tblGrid>
        <w:gridCol w:w="2106"/>
        <w:gridCol w:w="1044"/>
        <w:gridCol w:w="943"/>
        <w:gridCol w:w="1044"/>
        <w:gridCol w:w="1044"/>
        <w:gridCol w:w="1044"/>
        <w:gridCol w:w="1061"/>
      </w:tblGrid>
      <w:tr>
        <w:tblPrEx>
          <w:tblLayout w:type="fixed"/>
          <w:tblCellMar>
            <w:top w:w="0" w:type="dxa"/>
            <w:left w:w="108" w:type="dxa"/>
            <w:bottom w:w="0" w:type="dxa"/>
            <w:right w:w="108" w:type="dxa"/>
          </w:tblCellMar>
        </w:tblPrEx>
        <w:trPr>
          <w:trHeight w:val="300" w:hRule="atLeast"/>
          <w:tblHeader/>
          <w:jc w:val="center"/>
        </w:trPr>
        <w:tc>
          <w:tcPr>
            <w:tcW w:w="2106" w:type="dxa"/>
            <w:tcBorders>
              <w:top w:val="single" w:color="74A1BB" w:sz="8" w:space="0"/>
              <w:left w:val="single" w:color="74A1BB" w:sz="8" w:space="0"/>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就业服务</w:t>
            </w:r>
          </w:p>
        </w:tc>
        <w:tc>
          <w:tcPr>
            <w:tcW w:w="1044"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非常满意</w:t>
            </w:r>
          </w:p>
        </w:tc>
        <w:tc>
          <w:tcPr>
            <w:tcW w:w="943"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满意</w:t>
            </w:r>
          </w:p>
        </w:tc>
        <w:tc>
          <w:tcPr>
            <w:tcW w:w="1044"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比较满意</w:t>
            </w:r>
          </w:p>
        </w:tc>
        <w:tc>
          <w:tcPr>
            <w:tcW w:w="1044"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不太满意</w:t>
            </w:r>
          </w:p>
        </w:tc>
        <w:tc>
          <w:tcPr>
            <w:tcW w:w="1044"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很不满意</w:t>
            </w:r>
          </w:p>
        </w:tc>
        <w:tc>
          <w:tcPr>
            <w:tcW w:w="1061"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综合得分</w:t>
            </w:r>
          </w:p>
        </w:tc>
      </w:tr>
      <w:tr>
        <w:tblPrEx>
          <w:tblLayout w:type="fixed"/>
          <w:tblCellMar>
            <w:top w:w="0" w:type="dxa"/>
            <w:left w:w="108" w:type="dxa"/>
            <w:bottom w:w="0" w:type="dxa"/>
            <w:right w:w="108" w:type="dxa"/>
          </w:tblCellMar>
        </w:tblPrEx>
        <w:trPr>
          <w:trHeight w:val="300" w:hRule="atLeast"/>
          <w:jc w:val="center"/>
        </w:trPr>
        <w:tc>
          <w:tcPr>
            <w:tcW w:w="2106"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就业/创业指导课</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41.27%</w:t>
            </w:r>
          </w:p>
        </w:tc>
        <w:tc>
          <w:tcPr>
            <w:tcW w:w="943"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35.26%</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19.28%</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2.80%</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1.40%</w:t>
            </w:r>
          </w:p>
        </w:tc>
        <w:tc>
          <w:tcPr>
            <w:tcW w:w="106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4.12 </w:t>
            </w:r>
          </w:p>
        </w:tc>
      </w:tr>
      <w:tr>
        <w:tblPrEx>
          <w:tblLayout w:type="fixed"/>
          <w:tblCellMar>
            <w:top w:w="0" w:type="dxa"/>
            <w:left w:w="108" w:type="dxa"/>
            <w:bottom w:w="0" w:type="dxa"/>
            <w:right w:w="108" w:type="dxa"/>
          </w:tblCellMar>
        </w:tblPrEx>
        <w:trPr>
          <w:trHeight w:val="300" w:hRule="atLeast"/>
          <w:jc w:val="center"/>
        </w:trPr>
        <w:tc>
          <w:tcPr>
            <w:tcW w:w="2106"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职业咨询/辅导</w:t>
            </w:r>
          </w:p>
        </w:tc>
        <w:tc>
          <w:tcPr>
            <w:tcW w:w="104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38.71%</w:t>
            </w:r>
          </w:p>
        </w:tc>
        <w:tc>
          <w:tcPr>
            <w:tcW w:w="943"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33.77%</w:t>
            </w:r>
          </w:p>
        </w:tc>
        <w:tc>
          <w:tcPr>
            <w:tcW w:w="104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20.92%</w:t>
            </w:r>
          </w:p>
        </w:tc>
        <w:tc>
          <w:tcPr>
            <w:tcW w:w="104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4.86%</w:t>
            </w:r>
          </w:p>
        </w:tc>
        <w:tc>
          <w:tcPr>
            <w:tcW w:w="104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1.73%</w:t>
            </w:r>
          </w:p>
        </w:tc>
        <w:tc>
          <w:tcPr>
            <w:tcW w:w="106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4.03 </w:t>
            </w:r>
          </w:p>
        </w:tc>
      </w:tr>
      <w:tr>
        <w:tblPrEx>
          <w:tblLayout w:type="fixed"/>
          <w:tblCellMar>
            <w:top w:w="0" w:type="dxa"/>
            <w:left w:w="108" w:type="dxa"/>
            <w:bottom w:w="0" w:type="dxa"/>
            <w:right w:w="108" w:type="dxa"/>
          </w:tblCellMar>
        </w:tblPrEx>
        <w:trPr>
          <w:trHeight w:val="300" w:hRule="atLeast"/>
          <w:jc w:val="center"/>
        </w:trPr>
        <w:tc>
          <w:tcPr>
            <w:tcW w:w="2106"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校园招聘活动</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51.24%</w:t>
            </w:r>
          </w:p>
        </w:tc>
        <w:tc>
          <w:tcPr>
            <w:tcW w:w="943"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35.50%</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10.87%</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1.40%</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0.99%</w:t>
            </w:r>
          </w:p>
        </w:tc>
        <w:tc>
          <w:tcPr>
            <w:tcW w:w="106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4.35 </w:t>
            </w:r>
          </w:p>
        </w:tc>
      </w:tr>
      <w:tr>
        <w:tblPrEx>
          <w:tblLayout w:type="fixed"/>
          <w:tblCellMar>
            <w:top w:w="0" w:type="dxa"/>
            <w:left w:w="108" w:type="dxa"/>
            <w:bottom w:w="0" w:type="dxa"/>
            <w:right w:w="108" w:type="dxa"/>
          </w:tblCellMar>
        </w:tblPrEx>
        <w:trPr>
          <w:trHeight w:val="300" w:hRule="atLeast"/>
          <w:jc w:val="center"/>
        </w:trPr>
        <w:tc>
          <w:tcPr>
            <w:tcW w:w="2106"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就业信息提供与发布</w:t>
            </w:r>
          </w:p>
        </w:tc>
        <w:tc>
          <w:tcPr>
            <w:tcW w:w="104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53.05%</w:t>
            </w:r>
          </w:p>
        </w:tc>
        <w:tc>
          <w:tcPr>
            <w:tcW w:w="943"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35.09%</w:t>
            </w:r>
          </w:p>
        </w:tc>
        <w:tc>
          <w:tcPr>
            <w:tcW w:w="104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9.80%</w:t>
            </w:r>
          </w:p>
        </w:tc>
        <w:tc>
          <w:tcPr>
            <w:tcW w:w="104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1.48%</w:t>
            </w:r>
          </w:p>
        </w:tc>
        <w:tc>
          <w:tcPr>
            <w:tcW w:w="104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0.58%</w:t>
            </w:r>
          </w:p>
        </w:tc>
        <w:tc>
          <w:tcPr>
            <w:tcW w:w="106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4.39 </w:t>
            </w:r>
          </w:p>
        </w:tc>
      </w:tr>
      <w:tr>
        <w:tblPrEx>
          <w:tblLayout w:type="fixed"/>
          <w:tblCellMar>
            <w:top w:w="0" w:type="dxa"/>
            <w:left w:w="108" w:type="dxa"/>
            <w:bottom w:w="0" w:type="dxa"/>
            <w:right w:w="108" w:type="dxa"/>
          </w:tblCellMar>
        </w:tblPrEx>
        <w:trPr>
          <w:trHeight w:val="300" w:hRule="atLeast"/>
          <w:jc w:val="center"/>
        </w:trPr>
        <w:tc>
          <w:tcPr>
            <w:tcW w:w="2106"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就业手续办理</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43.12%</w:t>
            </w:r>
          </w:p>
        </w:tc>
        <w:tc>
          <w:tcPr>
            <w:tcW w:w="943"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36.36%</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17.07%</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2.39%</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1.07%</w:t>
            </w:r>
          </w:p>
        </w:tc>
        <w:tc>
          <w:tcPr>
            <w:tcW w:w="106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4.18 </w:t>
            </w:r>
          </w:p>
        </w:tc>
      </w:tr>
      <w:tr>
        <w:tblPrEx>
          <w:tblLayout w:type="fixed"/>
          <w:tblCellMar>
            <w:top w:w="0" w:type="dxa"/>
            <w:left w:w="108" w:type="dxa"/>
            <w:bottom w:w="0" w:type="dxa"/>
            <w:right w:w="108" w:type="dxa"/>
          </w:tblCellMar>
        </w:tblPrEx>
        <w:trPr>
          <w:trHeight w:val="300" w:hRule="atLeast"/>
          <w:jc w:val="center"/>
        </w:trPr>
        <w:tc>
          <w:tcPr>
            <w:tcW w:w="2106"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就业困难群体帮扶</w:t>
            </w:r>
          </w:p>
        </w:tc>
        <w:tc>
          <w:tcPr>
            <w:tcW w:w="104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39.65%</w:t>
            </w:r>
          </w:p>
        </w:tc>
        <w:tc>
          <w:tcPr>
            <w:tcW w:w="943"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33.31%</w:t>
            </w:r>
          </w:p>
        </w:tc>
        <w:tc>
          <w:tcPr>
            <w:tcW w:w="104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21.02%</w:t>
            </w:r>
          </w:p>
        </w:tc>
        <w:tc>
          <w:tcPr>
            <w:tcW w:w="104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4.45%</w:t>
            </w:r>
          </w:p>
        </w:tc>
        <w:tc>
          <w:tcPr>
            <w:tcW w:w="104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1.57%</w:t>
            </w:r>
          </w:p>
        </w:tc>
        <w:tc>
          <w:tcPr>
            <w:tcW w:w="106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4.05 </w:t>
            </w:r>
          </w:p>
        </w:tc>
      </w:tr>
      <w:tr>
        <w:tblPrEx>
          <w:tblLayout w:type="fixed"/>
          <w:tblCellMar>
            <w:top w:w="0" w:type="dxa"/>
            <w:left w:w="108" w:type="dxa"/>
            <w:bottom w:w="0" w:type="dxa"/>
            <w:right w:w="108" w:type="dxa"/>
          </w:tblCellMar>
        </w:tblPrEx>
        <w:trPr>
          <w:trHeight w:val="300" w:hRule="atLeast"/>
          <w:jc w:val="center"/>
        </w:trPr>
        <w:tc>
          <w:tcPr>
            <w:tcW w:w="2106"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就业政策宣传与讲解</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42.85%</w:t>
            </w:r>
          </w:p>
        </w:tc>
        <w:tc>
          <w:tcPr>
            <w:tcW w:w="943"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33.64%</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18.91%</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2.93%</w:t>
            </w:r>
          </w:p>
        </w:tc>
        <w:tc>
          <w:tcPr>
            <w:tcW w:w="104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1.67%</w:t>
            </w:r>
          </w:p>
        </w:tc>
        <w:tc>
          <w:tcPr>
            <w:tcW w:w="106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4.13 </w:t>
            </w:r>
          </w:p>
        </w:tc>
      </w:tr>
    </w:tbl>
    <w:p>
      <w:pPr>
        <w:pStyle w:val="4"/>
      </w:pPr>
      <w:bookmarkStart w:id="8" w:name="_Toc534985178"/>
      <w:bookmarkStart w:id="9" w:name="_Toc530778530"/>
      <w:r>
        <w:rPr>
          <w:rFonts w:hint="eastAsia"/>
        </w:rPr>
        <w:t>（三）母校推荐度</w:t>
      </w:r>
      <w:bookmarkEnd w:id="8"/>
      <w:bookmarkEnd w:id="9"/>
    </w:p>
    <w:p>
      <w:pPr>
        <w:ind w:firstLine="480" w:firstLineChars="200"/>
      </w:pPr>
      <w:r>
        <w:rPr>
          <w:rFonts w:hint="eastAsia"/>
        </w:rPr>
        <w:t>毕业生对母校推荐度分布表明，29.32%的毕业生非常愿意推荐母校，</w:t>
      </w:r>
      <w:r>
        <w:t>38.96</w:t>
      </w:r>
      <w:r>
        <w:rPr>
          <w:rFonts w:hint="eastAsia"/>
        </w:rPr>
        <w:t>%的毕业生愿意推荐母校，</w:t>
      </w:r>
      <w:r>
        <w:t>26.44</w:t>
      </w:r>
      <w:r>
        <w:rPr>
          <w:rFonts w:hint="eastAsia"/>
        </w:rPr>
        <w:t>%的毕业生比较愿意推荐母校。总体上，毕业生愿意推荐母校的比例高达</w:t>
      </w:r>
      <w:r>
        <w:t>94.72</w:t>
      </w:r>
      <w:r>
        <w:rPr>
          <w:rFonts w:hint="eastAsia"/>
        </w:rPr>
        <w:t>%。</w:t>
      </w:r>
    </w:p>
    <w:p>
      <w:pPr>
        <w:keepNext/>
        <w:jc w:val="center"/>
      </w:pPr>
      <w:r>
        <w:drawing>
          <wp:inline distT="0" distB="0" distL="0" distR="0">
            <wp:extent cx="4257675" cy="231457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6"/>
        <w:jc w:val="center"/>
      </w:pPr>
      <w:r>
        <w:rPr>
          <w:rFonts w:hint="eastAsia"/>
        </w:rPr>
        <w:t>图5-</w:t>
      </w:r>
      <w:r>
        <w:fldChar w:fldCharType="begin"/>
      </w:r>
      <w:r>
        <w:instrText xml:space="preserve"> </w:instrText>
      </w:r>
      <w:r>
        <w:rPr>
          <w:rFonts w:hint="eastAsia"/>
        </w:rPr>
        <w:instrText xml:space="preserve">SEQ 图5- \* ARABIC</w:instrText>
      </w:r>
      <w:r>
        <w:instrText xml:space="preserve"> </w:instrText>
      </w:r>
      <w:r>
        <w:fldChar w:fldCharType="separate"/>
      </w:r>
      <w:r>
        <w:t>2</w:t>
      </w:r>
      <w:r>
        <w:fldChar w:fldCharType="end"/>
      </w:r>
      <w:r>
        <w:rPr>
          <w:rFonts w:hint="eastAsia"/>
        </w:rPr>
        <w:t xml:space="preserve"> 2018届毕业生对母校的推荐度</w:t>
      </w:r>
    </w:p>
    <w:p>
      <w:pPr>
        <w:pStyle w:val="4"/>
      </w:pPr>
      <w:bookmarkStart w:id="10" w:name="_Toc534985179"/>
      <w:bookmarkStart w:id="11" w:name="_Toc530778531"/>
      <w:r>
        <w:rPr>
          <w:rFonts w:hint="eastAsia"/>
        </w:rPr>
        <w:t>（四）满意度影响因素</w:t>
      </w:r>
      <w:bookmarkEnd w:id="10"/>
      <w:bookmarkEnd w:id="11"/>
    </w:p>
    <w:p>
      <w:pPr>
        <w:ind w:firstLine="480" w:firstLineChars="200"/>
      </w:pPr>
      <w:r>
        <w:rPr>
          <w:rFonts w:hint="eastAsia"/>
        </w:rPr>
        <w:t>在影响毕业生对母校满意度的因素中，</w:t>
      </w:r>
      <w:r>
        <w:t>18.14%的毕业生认为“</w:t>
      </w:r>
      <w:r>
        <w:rPr>
          <w:rFonts w:hint="eastAsia"/>
        </w:rPr>
        <w:t>校风学风</w:t>
      </w:r>
      <w:r>
        <w:t>”最</w:t>
      </w:r>
      <w:r>
        <w:rPr>
          <w:rFonts w:hint="eastAsia"/>
        </w:rPr>
        <w:t>为影响教育教学</w:t>
      </w:r>
      <w:r>
        <w:t>；其次</w:t>
      </w:r>
      <w:r>
        <w:rPr>
          <w:rFonts w:hint="eastAsia"/>
        </w:rPr>
        <w:t>分“所学知识/能力满足需求”（</w:t>
      </w:r>
      <w:r>
        <w:t>16.62</w:t>
      </w:r>
      <w:r>
        <w:rPr>
          <w:rFonts w:hint="eastAsia"/>
        </w:rPr>
        <w:t>%）、“</w:t>
      </w:r>
      <w:r>
        <w:t>学校管理人员的办事效率和态度</w:t>
      </w:r>
      <w:r>
        <w:rPr>
          <w:rFonts w:hint="eastAsia"/>
        </w:rPr>
        <w:t>”（</w:t>
      </w:r>
      <w:r>
        <w:t>11.84</w:t>
      </w:r>
      <w:r>
        <w:rPr>
          <w:rFonts w:hint="eastAsia"/>
        </w:rPr>
        <w:t>%）。</w:t>
      </w:r>
    </w:p>
    <w:p>
      <w:pPr>
        <w:keepNext/>
        <w:jc w:val="center"/>
      </w:pPr>
      <w:r>
        <w:drawing>
          <wp:inline distT="0" distB="0" distL="0" distR="0">
            <wp:extent cx="5019675" cy="2743200"/>
            <wp:effectExtent l="0" t="0" r="9525" b="0"/>
            <wp:docPr id="269" name="图表 26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6"/>
        <w:jc w:val="center"/>
      </w:pPr>
      <w:r>
        <w:rPr>
          <w:rFonts w:hint="eastAsia"/>
        </w:rPr>
        <w:t>图5-</w:t>
      </w:r>
      <w:r>
        <w:fldChar w:fldCharType="begin"/>
      </w:r>
      <w:r>
        <w:instrText xml:space="preserve"> </w:instrText>
      </w:r>
      <w:r>
        <w:rPr>
          <w:rFonts w:hint="eastAsia"/>
        </w:rPr>
        <w:instrText xml:space="preserve">SEQ 图5- \* ARABIC</w:instrText>
      </w:r>
      <w:r>
        <w:instrText xml:space="preserve"> </w:instrText>
      </w:r>
      <w:r>
        <w:fldChar w:fldCharType="separate"/>
      </w:r>
      <w:r>
        <w:t>3</w:t>
      </w:r>
      <w:r>
        <w:fldChar w:fldCharType="end"/>
      </w:r>
      <w:r>
        <w:rPr>
          <w:rFonts w:hint="eastAsia"/>
        </w:rPr>
        <w:t xml:space="preserve"> 2018届毕业生认为影响毕业生对母校满意度因素</w:t>
      </w:r>
    </w:p>
    <w:p>
      <w:pPr>
        <w:pStyle w:val="3"/>
        <w:rPr>
          <w:sz w:val="24"/>
          <w:szCs w:val="22"/>
        </w:rPr>
      </w:pPr>
      <w:bookmarkStart w:id="12" w:name="_Toc534985180"/>
      <w:bookmarkStart w:id="13" w:name="_Toc530778532"/>
      <w:r>
        <w:rPr>
          <w:rFonts w:hint="eastAsia"/>
        </w:rPr>
        <w:t>二、教育教学改进建议</w:t>
      </w:r>
      <w:bookmarkEnd w:id="12"/>
      <w:bookmarkEnd w:id="13"/>
    </w:p>
    <w:p>
      <w:pPr>
        <w:pStyle w:val="4"/>
      </w:pPr>
      <w:bookmarkStart w:id="14" w:name="_Toc530778533"/>
      <w:bookmarkStart w:id="15" w:name="_Toc534985181"/>
      <w:r>
        <w:rPr>
          <w:rFonts w:hint="eastAsia"/>
        </w:rPr>
        <w:t>（一）教学改进建议</w:t>
      </w:r>
      <w:bookmarkEnd w:id="14"/>
      <w:bookmarkEnd w:id="15"/>
    </w:p>
    <w:p>
      <w:pPr>
        <w:ind w:left="119" w:firstLine="480" w:firstLineChars="200"/>
        <w:rPr>
          <w:bCs/>
        </w:rPr>
      </w:pPr>
      <w:r>
        <w:rPr>
          <w:rFonts w:hint="eastAsia"/>
          <w:bCs/>
        </w:rPr>
        <w:t>毕业生对母校的教学改进建议中，毕业生认为实践教学最需要改进，占比为24.33%，其次需要改进的为：专业课内容及安排（18.51%）、教学方法和手段（18.40%）、考核方法与教学评价（14.07%）。</w:t>
      </w:r>
    </w:p>
    <w:p>
      <w:pPr>
        <w:pStyle w:val="6"/>
        <w:keepNext/>
        <w:jc w:val="center"/>
      </w:pPr>
      <w:r>
        <w:drawing>
          <wp:inline distT="0" distB="0" distL="0" distR="0">
            <wp:extent cx="4991100" cy="2324100"/>
            <wp:effectExtent l="0" t="0" r="0" b="0"/>
            <wp:docPr id="270" name="图表 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6"/>
        <w:jc w:val="center"/>
      </w:pPr>
      <w:r>
        <w:rPr>
          <w:rFonts w:hint="eastAsia"/>
        </w:rPr>
        <w:t>图5-</w:t>
      </w:r>
      <w:r>
        <w:fldChar w:fldCharType="begin"/>
      </w:r>
      <w:r>
        <w:instrText xml:space="preserve"> </w:instrText>
      </w:r>
      <w:r>
        <w:rPr>
          <w:rFonts w:hint="eastAsia"/>
        </w:rPr>
        <w:instrText xml:space="preserve">SEQ 图5- \* ARABIC</w:instrText>
      </w:r>
      <w:r>
        <w:instrText xml:space="preserve"> </w:instrText>
      </w:r>
      <w:r>
        <w:fldChar w:fldCharType="separate"/>
      </w:r>
      <w:r>
        <w:t>4</w:t>
      </w:r>
      <w:r>
        <w:fldChar w:fldCharType="end"/>
      </w:r>
      <w:r>
        <w:rPr>
          <w:rFonts w:hint="eastAsia"/>
        </w:rPr>
        <w:t xml:space="preserve"> 2018届毕业生教学改进建议</w:t>
      </w:r>
    </w:p>
    <w:p>
      <w:pPr>
        <w:pStyle w:val="4"/>
      </w:pPr>
      <w:bookmarkStart w:id="16" w:name="_Toc530778534"/>
      <w:bookmarkStart w:id="17" w:name="_Toc534985182"/>
      <w:r>
        <w:rPr>
          <w:rFonts w:hint="eastAsia"/>
        </w:rPr>
        <w:t>（二）课程改进建议</w:t>
      </w:r>
      <w:bookmarkEnd w:id="16"/>
      <w:bookmarkEnd w:id="17"/>
    </w:p>
    <w:p>
      <w:pPr>
        <w:ind w:left="119" w:firstLine="480" w:firstLineChars="200"/>
        <w:rPr>
          <w:bCs/>
        </w:rPr>
      </w:pPr>
      <w:r>
        <w:rPr>
          <w:rFonts w:hint="eastAsia"/>
          <w:bCs/>
        </w:rPr>
        <w:t>毕业生对母校的课程改进建议表明：在毕业生认为最值得改进的课程中排名前五的是：本专业课程的实用性（27.99%）、专业课开设的先后顺序（19.05%）、实践课程安排次数（18.11%）、各学期开设课程门数（15.48%）、每周上课时间安排（8.77%）。</w:t>
      </w:r>
    </w:p>
    <w:p>
      <w:pPr>
        <w:keepNext/>
        <w:jc w:val="center"/>
      </w:pPr>
      <w:r>
        <w:drawing>
          <wp:inline distT="0" distB="0" distL="0" distR="0">
            <wp:extent cx="4791075" cy="2743200"/>
            <wp:effectExtent l="0" t="0" r="9525" b="0"/>
            <wp:docPr id="271" name="图表 27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6"/>
        <w:jc w:val="center"/>
      </w:pPr>
      <w:r>
        <w:rPr>
          <w:rFonts w:hint="eastAsia"/>
        </w:rPr>
        <w:t>图5-</w:t>
      </w:r>
      <w:r>
        <w:fldChar w:fldCharType="begin"/>
      </w:r>
      <w:r>
        <w:instrText xml:space="preserve"> </w:instrText>
      </w:r>
      <w:r>
        <w:rPr>
          <w:rFonts w:hint="eastAsia"/>
        </w:rPr>
        <w:instrText xml:space="preserve">SEQ 图5- \* ARABIC</w:instrText>
      </w:r>
      <w:r>
        <w:instrText xml:space="preserve"> </w:instrText>
      </w:r>
      <w:r>
        <w:fldChar w:fldCharType="separate"/>
      </w:r>
      <w:r>
        <w:t>5</w:t>
      </w:r>
      <w:r>
        <w:fldChar w:fldCharType="end"/>
      </w:r>
      <w:r>
        <w:rPr>
          <w:rFonts w:hint="eastAsia"/>
        </w:rPr>
        <w:t xml:space="preserve"> 2018届毕业生对课程改进建议</w:t>
      </w:r>
    </w:p>
    <w:p>
      <w:pPr>
        <w:pStyle w:val="3"/>
      </w:pPr>
      <w:bookmarkStart w:id="18" w:name="_Toc530778535"/>
      <w:bookmarkStart w:id="19" w:name="_Toc534985183"/>
      <w:r>
        <w:rPr>
          <w:rFonts w:hint="eastAsia"/>
        </w:rPr>
        <w:t>三、毕业生综合满意度模型</w:t>
      </w:r>
      <w:bookmarkEnd w:id="18"/>
      <w:bookmarkEnd w:id="19"/>
    </w:p>
    <w:p>
      <w:pPr>
        <w:pStyle w:val="5"/>
      </w:pPr>
      <w:bookmarkStart w:id="20" w:name="_Toc499046709"/>
      <w:bookmarkStart w:id="21" w:name="_Toc499061066"/>
      <w:bookmarkStart w:id="22" w:name="_Toc499049948"/>
      <w:bookmarkStart w:id="23" w:name="_Toc499129885"/>
      <w:bookmarkStart w:id="24" w:name="_Toc499923546"/>
      <w:r>
        <w:t>模型假</w:t>
      </w:r>
      <w:r>
        <w:rPr>
          <w:rFonts w:hint="eastAsia"/>
        </w:rPr>
        <w:t>设</w:t>
      </w:r>
      <w:bookmarkEnd w:id="20"/>
      <w:bookmarkEnd w:id="21"/>
      <w:bookmarkEnd w:id="22"/>
      <w:bookmarkEnd w:id="23"/>
      <w:bookmarkEnd w:id="24"/>
    </w:p>
    <w:p>
      <w:pPr>
        <w:ind w:firstLine="48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A</w:t>
      </w:r>
      <w:r>
        <w:rPr>
          <w:rFonts w:cs="MS Mincho" w:asciiTheme="minorEastAsia" w:hAnsiTheme="minorEastAsia"/>
          <w:color w:val="000000" w:themeColor="text1"/>
          <w14:textFill>
            <w14:solidFill>
              <w14:schemeClr w14:val="tx1"/>
            </w14:solidFill>
          </w14:textFill>
        </w:rPr>
        <w:t>．假</w:t>
      </w:r>
      <w:r>
        <w:rPr>
          <w:rFonts w:hint="eastAsia" w:asciiTheme="minorEastAsia" w:hAnsiTheme="minorEastAsia"/>
          <w:color w:val="000000" w:themeColor="text1"/>
          <w14:textFill>
            <w14:solidFill>
              <w14:schemeClr w14:val="tx1"/>
            </w14:solidFill>
          </w14:textFill>
        </w:rPr>
        <w:t>设调</w:t>
      </w:r>
      <w:r>
        <w:rPr>
          <w:rFonts w:cs="MS Mincho" w:asciiTheme="minorEastAsia" w:hAnsiTheme="minorEastAsia"/>
          <w:color w:val="000000" w:themeColor="text1"/>
          <w14:textFill>
            <w14:solidFill>
              <w14:schemeClr w14:val="tx1"/>
            </w14:solidFill>
          </w14:textFill>
        </w:rPr>
        <w:t>研所得</w:t>
      </w:r>
      <w:r>
        <w:rPr>
          <w:rFonts w:hint="eastAsia" w:asciiTheme="minorEastAsia" w:hAnsiTheme="minorEastAsia"/>
          <w:color w:val="000000" w:themeColor="text1"/>
          <w14:textFill>
            <w14:solidFill>
              <w14:schemeClr w14:val="tx1"/>
            </w14:solidFill>
          </w14:textFill>
        </w:rPr>
        <w:t>样</w:t>
      </w:r>
      <w:r>
        <w:rPr>
          <w:rFonts w:cs="MS Mincho" w:asciiTheme="minorEastAsia" w:hAnsiTheme="minorEastAsia"/>
          <w:color w:val="000000" w:themeColor="text1"/>
          <w14:textFill>
            <w14:solidFill>
              <w14:schemeClr w14:val="tx1"/>
            </w14:solidFill>
          </w14:textFill>
        </w:rPr>
        <w:t>本数据可以代表全体</w:t>
      </w:r>
      <w:r>
        <w:rPr>
          <w:rFonts w:hint="eastAsia" w:cs="MS Mincho" w:asciiTheme="minorEastAsia" w:hAnsiTheme="minorEastAsia"/>
          <w:color w:val="000000" w:themeColor="text1"/>
          <w14:textFill>
            <w14:solidFill>
              <w14:schemeClr w14:val="tx1"/>
            </w14:solidFill>
          </w14:textFill>
        </w:rPr>
        <w:t>毕业生</w:t>
      </w:r>
      <w:r>
        <w:rPr>
          <w:rFonts w:cs="MS Mincho" w:asciiTheme="minorEastAsia" w:hAnsiTheme="minorEastAsia"/>
          <w:color w:val="000000" w:themeColor="text1"/>
          <w14:textFill>
            <w14:solidFill>
              <w14:schemeClr w14:val="tx1"/>
            </w14:solidFill>
          </w14:textFill>
        </w:rPr>
        <w:t>。</w:t>
      </w:r>
    </w:p>
    <w:p>
      <w:pPr>
        <w:ind w:firstLine="48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B</w:t>
      </w:r>
      <w:r>
        <w:rPr>
          <w:rFonts w:cs="MS Mincho"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满</w:t>
      </w:r>
      <w:r>
        <w:rPr>
          <w:rFonts w:cs="MS Mincho" w:asciiTheme="minorEastAsia" w:hAnsiTheme="minorEastAsia"/>
          <w:color w:val="000000" w:themeColor="text1"/>
          <w14:textFill>
            <w14:solidFill>
              <w14:schemeClr w14:val="tx1"/>
            </w14:solidFill>
          </w14:textFill>
        </w:rPr>
        <w:t>意度</w:t>
      </w:r>
      <w:r>
        <w:rPr>
          <w:rFonts w:hint="eastAsia" w:asciiTheme="minorEastAsia" w:hAnsiTheme="minorEastAsia"/>
          <w:color w:val="000000" w:themeColor="text1"/>
          <w14:textFill>
            <w14:solidFill>
              <w14:schemeClr w14:val="tx1"/>
            </w14:solidFill>
          </w14:textFill>
        </w:rPr>
        <w:t>题项</w:t>
      </w:r>
      <w:r>
        <w:rPr>
          <w:rFonts w:cs="MS Mincho" w:asciiTheme="minorEastAsia" w:hAnsiTheme="minorEastAsia"/>
          <w:color w:val="000000" w:themeColor="text1"/>
          <w14:textFill>
            <w14:solidFill>
              <w14:schemeClr w14:val="tx1"/>
            </w14:solidFill>
          </w14:textFill>
        </w:rPr>
        <w:t>指</w:t>
      </w:r>
      <w:r>
        <w:rPr>
          <w:rFonts w:hint="eastAsia" w:asciiTheme="minorEastAsia" w:hAnsiTheme="minorEastAsia"/>
          <w:color w:val="000000" w:themeColor="text1"/>
          <w14:textFill>
            <w14:solidFill>
              <w14:schemeClr w14:val="tx1"/>
            </w14:solidFill>
          </w14:textFill>
        </w:rPr>
        <w:t>标</w:t>
      </w:r>
      <w:r>
        <w:rPr>
          <w:rFonts w:cs="MS Mincho" w:asciiTheme="minorEastAsia" w:hAnsiTheme="minorEastAsia"/>
          <w:color w:val="000000" w:themeColor="text1"/>
          <w14:textFill>
            <w14:solidFill>
              <w14:schemeClr w14:val="tx1"/>
            </w14:solidFill>
          </w14:textFill>
        </w:rPr>
        <w:t>可以等</w:t>
      </w:r>
      <w:r>
        <w:rPr>
          <w:rFonts w:hint="eastAsia" w:asciiTheme="minorEastAsia" w:hAnsiTheme="minorEastAsia"/>
          <w:color w:val="000000" w:themeColor="text1"/>
          <w14:textFill>
            <w14:solidFill>
              <w14:schemeClr w14:val="tx1"/>
            </w14:solidFill>
          </w14:textFill>
        </w:rPr>
        <w:t>级</w:t>
      </w:r>
      <w:r>
        <w:rPr>
          <w:rFonts w:cs="MS Mincho" w:asciiTheme="minorEastAsia" w:hAnsiTheme="minorEastAsia"/>
          <w:color w:val="000000" w:themeColor="text1"/>
          <w14:textFill>
            <w14:solidFill>
              <w14:schemeClr w14:val="tx1"/>
            </w14:solidFill>
          </w14:textFill>
        </w:rPr>
        <w:t>量化，</w:t>
      </w:r>
      <w:r>
        <w:rPr>
          <w:rFonts w:cs="Helvetica" w:asciiTheme="minorEastAsia" w:hAnsiTheme="minorEastAsia"/>
          <w:color w:val="000000" w:themeColor="text1"/>
          <w14:textFill>
            <w14:solidFill>
              <w14:schemeClr w14:val="tx1"/>
            </w14:solidFill>
          </w14:textFill>
        </w:rPr>
        <w:t>“</w:t>
      </w:r>
      <w:r>
        <w:rPr>
          <w:rFonts w:cs="MS Mincho" w:asciiTheme="minorEastAsia" w:hAnsiTheme="minorEastAsia"/>
          <w:color w:val="000000" w:themeColor="text1"/>
          <w14:textFill>
            <w14:solidFill>
              <w14:schemeClr w14:val="tx1"/>
            </w14:solidFill>
          </w14:textFill>
        </w:rPr>
        <w:t>非常</w:t>
      </w:r>
      <w:r>
        <w:rPr>
          <w:rFonts w:hint="eastAsia" w:asciiTheme="minorEastAsia" w:hAnsiTheme="minorEastAsia"/>
          <w:color w:val="000000" w:themeColor="text1"/>
          <w14:textFill>
            <w14:solidFill>
              <w14:schemeClr w14:val="tx1"/>
            </w14:solidFill>
          </w14:textFill>
        </w:rPr>
        <w:t>满</w:t>
      </w:r>
      <w:r>
        <w:rPr>
          <w:rFonts w:cs="MS Mincho" w:asciiTheme="minorEastAsia" w:hAnsiTheme="minorEastAsia"/>
          <w:color w:val="000000" w:themeColor="text1"/>
          <w14:textFill>
            <w14:solidFill>
              <w14:schemeClr w14:val="tx1"/>
            </w14:solidFill>
          </w14:textFill>
        </w:rPr>
        <w:t>意</w:t>
      </w:r>
      <w:r>
        <w:rPr>
          <w:rFonts w:cs="Helvetica"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=5</w:t>
      </w:r>
      <w:r>
        <w:rPr>
          <w:rFonts w:cs="MS Mincho" w:asciiTheme="minorEastAsia" w:hAnsiTheme="minorEastAsia"/>
          <w:color w:val="000000" w:themeColor="text1"/>
          <w14:textFill>
            <w14:solidFill>
              <w14:schemeClr w14:val="tx1"/>
            </w14:solidFill>
          </w14:textFill>
        </w:rPr>
        <w:t>，</w:t>
      </w:r>
      <w:r>
        <w:rPr>
          <w:rFonts w:cs="Helvetica"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满意</w:t>
      </w:r>
      <w:r>
        <w:rPr>
          <w:rFonts w:cs="Helvetica"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=4</w:t>
      </w:r>
      <w:r>
        <w:rPr>
          <w:rFonts w:cs="MS Mincho" w:asciiTheme="minorEastAsia" w:hAnsiTheme="minorEastAsia"/>
          <w:color w:val="000000" w:themeColor="text1"/>
          <w14:textFill>
            <w14:solidFill>
              <w14:schemeClr w14:val="tx1"/>
            </w14:solidFill>
          </w14:textFill>
        </w:rPr>
        <w:t>，</w:t>
      </w:r>
      <w:r>
        <w:rPr>
          <w:rFonts w:cs="Helvetica" w:asciiTheme="minorEastAsia" w:hAnsiTheme="minorEastAsia"/>
          <w:color w:val="000000" w:themeColor="text1"/>
          <w14:textFill>
            <w14:solidFill>
              <w14:schemeClr w14:val="tx1"/>
            </w14:solidFill>
          </w14:textFill>
        </w:rPr>
        <w:t>“</w:t>
      </w:r>
      <w:r>
        <w:rPr>
          <w:rFonts w:cs="MS Mincho" w:asciiTheme="minorEastAsia" w:hAnsiTheme="minorEastAsia"/>
          <w:color w:val="000000" w:themeColor="text1"/>
          <w14:textFill>
            <w14:solidFill>
              <w14:schemeClr w14:val="tx1"/>
            </w14:solidFill>
          </w14:textFill>
        </w:rPr>
        <w:t>比</w:t>
      </w:r>
      <w:r>
        <w:rPr>
          <w:rFonts w:hint="eastAsia" w:asciiTheme="minorEastAsia" w:hAnsiTheme="minorEastAsia"/>
          <w:color w:val="000000" w:themeColor="text1"/>
          <w14:textFill>
            <w14:solidFill>
              <w14:schemeClr w14:val="tx1"/>
            </w14:solidFill>
          </w14:textFill>
        </w:rPr>
        <w:t>较满</w:t>
      </w:r>
      <w:r>
        <w:rPr>
          <w:rFonts w:cs="MS Mincho" w:asciiTheme="minorEastAsia" w:hAnsiTheme="minorEastAsia"/>
          <w:color w:val="000000" w:themeColor="text1"/>
          <w14:textFill>
            <w14:solidFill>
              <w14:schemeClr w14:val="tx1"/>
            </w14:solidFill>
          </w14:textFill>
        </w:rPr>
        <w:t>意</w:t>
      </w:r>
      <w:r>
        <w:rPr>
          <w:rFonts w:cs="Helvetica"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=3</w:t>
      </w:r>
      <w:r>
        <w:rPr>
          <w:rFonts w:cs="MS Mincho" w:asciiTheme="minorEastAsia" w:hAnsiTheme="minorEastAsia"/>
          <w:color w:val="000000" w:themeColor="text1"/>
          <w14:textFill>
            <w14:solidFill>
              <w14:schemeClr w14:val="tx1"/>
            </w14:solidFill>
          </w14:textFill>
        </w:rPr>
        <w:t>，</w:t>
      </w:r>
      <w:r>
        <w:rPr>
          <w:rFonts w:cs="Helvetica" w:asciiTheme="minorEastAsia" w:hAnsiTheme="minorEastAsia"/>
          <w:color w:val="000000" w:themeColor="text1"/>
          <w14:textFill>
            <w14:solidFill>
              <w14:schemeClr w14:val="tx1"/>
            </w14:solidFill>
          </w14:textFill>
        </w:rPr>
        <w:t>“</w:t>
      </w:r>
      <w:r>
        <w:rPr>
          <w:rFonts w:cs="MS Mincho" w:asciiTheme="minorEastAsia" w:hAnsiTheme="minorEastAsia"/>
          <w:color w:val="000000" w:themeColor="text1"/>
          <w14:textFill>
            <w14:solidFill>
              <w14:schemeClr w14:val="tx1"/>
            </w14:solidFill>
          </w14:textFill>
        </w:rPr>
        <w:t>不太</w:t>
      </w:r>
      <w:r>
        <w:rPr>
          <w:rFonts w:hint="eastAsia" w:asciiTheme="minorEastAsia" w:hAnsiTheme="minorEastAsia"/>
          <w:color w:val="000000" w:themeColor="text1"/>
          <w14:textFill>
            <w14:solidFill>
              <w14:schemeClr w14:val="tx1"/>
            </w14:solidFill>
          </w14:textFill>
        </w:rPr>
        <w:t>满</w:t>
      </w:r>
      <w:r>
        <w:rPr>
          <w:rFonts w:cs="MS Mincho" w:asciiTheme="minorEastAsia" w:hAnsiTheme="minorEastAsia"/>
          <w:color w:val="000000" w:themeColor="text1"/>
          <w14:textFill>
            <w14:solidFill>
              <w14:schemeClr w14:val="tx1"/>
            </w14:solidFill>
          </w14:textFill>
        </w:rPr>
        <w:t>意</w:t>
      </w:r>
      <w:r>
        <w:rPr>
          <w:rFonts w:cs="Helvetica"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=2</w:t>
      </w:r>
      <w:r>
        <w:rPr>
          <w:rFonts w:cs="MS Mincho" w:asciiTheme="minorEastAsia" w:hAnsiTheme="minorEastAsia"/>
          <w:color w:val="000000" w:themeColor="text1"/>
          <w14:textFill>
            <w14:solidFill>
              <w14:schemeClr w14:val="tx1"/>
            </w14:solidFill>
          </w14:textFill>
        </w:rPr>
        <w:t>，</w:t>
      </w:r>
      <w:r>
        <w:rPr>
          <w:rFonts w:cs="Helvetica" w:asciiTheme="minorEastAsia" w:hAnsiTheme="minorEastAsia"/>
          <w:color w:val="000000" w:themeColor="text1"/>
          <w14:textFill>
            <w14:solidFill>
              <w14:schemeClr w14:val="tx1"/>
            </w14:solidFill>
          </w14:textFill>
        </w:rPr>
        <w:t>“</w:t>
      </w:r>
      <w:r>
        <w:rPr>
          <w:rFonts w:cs="MS Mincho" w:asciiTheme="minorEastAsia" w:hAnsiTheme="minorEastAsia"/>
          <w:color w:val="000000" w:themeColor="text1"/>
          <w14:textFill>
            <w14:solidFill>
              <w14:schemeClr w14:val="tx1"/>
            </w14:solidFill>
          </w14:textFill>
        </w:rPr>
        <w:t>很不</w:t>
      </w:r>
      <w:r>
        <w:rPr>
          <w:rFonts w:hint="eastAsia" w:asciiTheme="minorEastAsia" w:hAnsiTheme="minorEastAsia"/>
          <w:color w:val="000000" w:themeColor="text1"/>
          <w14:textFill>
            <w14:solidFill>
              <w14:schemeClr w14:val="tx1"/>
            </w14:solidFill>
          </w14:textFill>
        </w:rPr>
        <w:t>满</w:t>
      </w:r>
      <w:r>
        <w:rPr>
          <w:rFonts w:cs="MS Mincho" w:asciiTheme="minorEastAsia" w:hAnsiTheme="minorEastAsia"/>
          <w:color w:val="000000" w:themeColor="text1"/>
          <w14:textFill>
            <w14:solidFill>
              <w14:schemeClr w14:val="tx1"/>
            </w14:solidFill>
          </w14:textFill>
        </w:rPr>
        <w:t>意</w:t>
      </w:r>
      <w:r>
        <w:rPr>
          <w:rFonts w:cs="Helvetica"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=1</w:t>
      </w:r>
      <w:r>
        <w:rPr>
          <w:rFonts w:cs="MS Mincho" w:asciiTheme="minorEastAsia" w:hAnsiTheme="minorEastAsia"/>
          <w:color w:val="000000" w:themeColor="text1"/>
          <w14:textFill>
            <w14:solidFill>
              <w14:schemeClr w14:val="tx1"/>
            </w14:solidFill>
          </w14:textFill>
        </w:rPr>
        <w:t>。</w:t>
      </w:r>
    </w:p>
    <w:p>
      <w:pPr>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C</w:t>
      </w:r>
      <w:r>
        <w:rPr>
          <w:rFonts w:cs="MS Mincho"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进</w:t>
      </w:r>
      <w:r>
        <w:rPr>
          <w:rFonts w:cs="MS Mincho" w:asciiTheme="minorEastAsia" w:hAnsiTheme="minorEastAsia"/>
          <w:color w:val="000000" w:themeColor="text1"/>
          <w14:textFill>
            <w14:solidFill>
              <w14:schemeClr w14:val="tx1"/>
            </w14:solidFill>
          </w14:textFill>
        </w:rPr>
        <w:t>行分析的各因素</w:t>
      </w:r>
      <w:r>
        <w:rPr>
          <w:rFonts w:hint="eastAsia" w:asciiTheme="minorEastAsia" w:hAnsiTheme="minorEastAsia"/>
          <w:color w:val="000000" w:themeColor="text1"/>
          <w14:textFill>
            <w14:solidFill>
              <w14:schemeClr w14:val="tx1"/>
            </w14:solidFill>
          </w14:textFill>
        </w:rPr>
        <w:t>对满</w:t>
      </w:r>
      <w:r>
        <w:rPr>
          <w:rFonts w:cs="MS Mincho" w:asciiTheme="minorEastAsia" w:hAnsiTheme="minorEastAsia"/>
          <w:color w:val="000000" w:themeColor="text1"/>
          <w14:textFill>
            <w14:solidFill>
              <w14:schemeClr w14:val="tx1"/>
            </w14:solidFill>
          </w14:textFill>
        </w:rPr>
        <w:t>意度影响均</w:t>
      </w:r>
      <w:r>
        <w:rPr>
          <w:rFonts w:hint="eastAsia" w:asciiTheme="minorEastAsia" w:hAnsiTheme="minorEastAsia"/>
          <w:color w:val="000000" w:themeColor="text1"/>
          <w14:textFill>
            <w14:solidFill>
              <w14:schemeClr w14:val="tx1"/>
            </w14:solidFill>
          </w14:textFill>
        </w:rPr>
        <w:t>为</w:t>
      </w:r>
      <w:r>
        <w:rPr>
          <w:rFonts w:cs="MS Mincho" w:asciiTheme="minorEastAsia" w:hAnsiTheme="minorEastAsia"/>
          <w:color w:val="000000" w:themeColor="text1"/>
          <w14:textFill>
            <w14:solidFill>
              <w14:schemeClr w14:val="tx1"/>
            </w14:solidFill>
          </w14:textFill>
        </w:rPr>
        <w:t>正向的。</w:t>
      </w:r>
    </w:p>
    <w:p>
      <w:pPr>
        <w:pStyle w:val="5"/>
      </w:pPr>
      <w:bookmarkStart w:id="25" w:name="_Toc499049949"/>
      <w:bookmarkStart w:id="26" w:name="_Toc499923547"/>
      <w:bookmarkStart w:id="27" w:name="_Toc499129886"/>
      <w:bookmarkStart w:id="28" w:name="_Toc499061067"/>
      <w:bookmarkStart w:id="29" w:name="_Toc499046710"/>
      <w:r>
        <w:t>模型原理</w:t>
      </w:r>
      <w:bookmarkEnd w:id="25"/>
      <w:bookmarkEnd w:id="26"/>
      <w:bookmarkEnd w:id="27"/>
      <w:bookmarkEnd w:id="28"/>
      <w:bookmarkEnd w:id="29"/>
    </w:p>
    <w:p>
      <w:pPr>
        <w:ind w:firstLine="480"/>
        <w:rPr>
          <w:color w:val="000000" w:themeColor="text1"/>
          <w14:textFill>
            <w14:solidFill>
              <w14:schemeClr w14:val="tx1"/>
            </w14:solidFill>
          </w14:textFill>
        </w:rPr>
      </w:pPr>
      <w:bookmarkStart w:id="30" w:name="_Toc499049951"/>
      <w:r>
        <w:rPr>
          <w:rFonts w:hint="eastAsia" w:ascii="宋体" w:hAnsi="宋体"/>
          <w:color w:val="000000" w:themeColor="text1"/>
          <w14:textFill>
            <w14:solidFill>
              <w14:schemeClr w14:val="tx1"/>
            </w14:solidFill>
          </w14:textFill>
        </w:rPr>
        <w:t>本模型采用的原理是主成分分析法。主成分分析法是一种数学降维法，是将多个变量转化为少数几个互不相关且具代表性的综合变量的进行统计分析的方法，又叫主分量分析。</w:t>
      </w:r>
    </w:p>
    <w:p>
      <w:pPr>
        <w:pStyle w:val="5"/>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模型</w:t>
      </w:r>
      <w:r>
        <w:rPr>
          <w:rFonts w:hint="eastAsia" w:asciiTheme="minorEastAsia" w:hAnsiTheme="minorEastAsia" w:eastAsiaTheme="minorEastAsia"/>
        </w:rPr>
        <w:t>变</w:t>
      </w:r>
      <w:r>
        <w:rPr>
          <w:rFonts w:asciiTheme="minorEastAsia" w:hAnsiTheme="minorEastAsia" w:eastAsiaTheme="minorEastAsia"/>
        </w:rPr>
        <w:t>量</w:t>
      </w:r>
      <w:bookmarkEnd w:id="30"/>
    </w:p>
    <w:p>
      <w:pPr>
        <w:ind w:firstLine="480" w:firstLineChars="200"/>
        <w:rPr>
          <w:rFonts w:asciiTheme="minorEastAsia" w:hAnsiTheme="minorEastAsia"/>
          <w:highlight w:val="yellow"/>
        </w:rPr>
      </w:pPr>
      <w:r>
        <w:rPr>
          <w:rFonts w:cs="MS Mincho" w:asciiTheme="minorEastAsia" w:hAnsiTheme="minorEastAsia"/>
        </w:rPr>
        <w:t>将</w:t>
      </w:r>
      <w:r>
        <w:rPr>
          <w:rFonts w:hint="eastAsia" w:asciiTheme="minorEastAsia" w:hAnsiTheme="minorEastAsia"/>
        </w:rPr>
        <w:t>问</w:t>
      </w:r>
      <w:r>
        <w:rPr>
          <w:rFonts w:cs="MS Mincho" w:asciiTheme="minorEastAsia" w:hAnsiTheme="minorEastAsia"/>
        </w:rPr>
        <w:t>卷中涉及到母校</w:t>
      </w:r>
      <w:r>
        <w:rPr>
          <w:rFonts w:hint="eastAsia" w:asciiTheme="minorEastAsia" w:hAnsiTheme="minorEastAsia"/>
        </w:rPr>
        <w:t>评</w:t>
      </w:r>
      <w:r>
        <w:rPr>
          <w:rFonts w:cs="MS Mincho" w:asciiTheme="minorEastAsia" w:hAnsiTheme="minorEastAsia"/>
        </w:rPr>
        <w:t>价的</w:t>
      </w:r>
      <w:r>
        <w:rPr>
          <w:rFonts w:hint="eastAsia" w:asciiTheme="minorEastAsia" w:hAnsiTheme="minorEastAsia"/>
        </w:rPr>
        <w:t>维</w:t>
      </w:r>
      <w:r>
        <w:rPr>
          <w:rFonts w:cs="MS Mincho" w:asciiTheme="minorEastAsia" w:hAnsiTheme="minorEastAsia"/>
        </w:rPr>
        <w:t>度的指</w:t>
      </w:r>
      <w:r>
        <w:rPr>
          <w:rFonts w:hint="eastAsia" w:asciiTheme="minorEastAsia" w:hAnsiTheme="minorEastAsia"/>
        </w:rPr>
        <w:t>标</w:t>
      </w:r>
      <w:r>
        <w:rPr>
          <w:rFonts w:cs="MS Mincho" w:asciiTheme="minorEastAsia" w:hAnsiTheme="minorEastAsia"/>
        </w:rPr>
        <w:t>均</w:t>
      </w:r>
      <w:r>
        <w:rPr>
          <w:rFonts w:hint="eastAsia" w:asciiTheme="minorEastAsia" w:hAnsiTheme="minorEastAsia"/>
        </w:rPr>
        <w:t>纳</w:t>
      </w:r>
      <w:r>
        <w:rPr>
          <w:rFonts w:cs="MS Mincho" w:asciiTheme="minorEastAsia" w:hAnsiTheme="minorEastAsia"/>
        </w:rPr>
        <w:t>入模型，并且用</w:t>
      </w:r>
      <w:r>
        <w:rPr>
          <w:rFonts w:hint="eastAsia" w:asciiTheme="minorEastAsia" w:hAnsiTheme="minorEastAsia"/>
        </w:rPr>
        <w:t>X</w:t>
      </w:r>
      <w:r>
        <w:rPr>
          <w:rFonts w:asciiTheme="minorEastAsia" w:hAnsiTheme="minorEastAsia"/>
        </w:rPr>
        <w:t>1</w:t>
      </w:r>
      <w:r>
        <w:rPr>
          <w:rFonts w:cs="MS Mincho" w:asciiTheme="minorEastAsia" w:hAnsiTheme="minorEastAsia"/>
        </w:rPr>
        <w:t>、</w:t>
      </w:r>
      <w:r>
        <w:rPr>
          <w:rFonts w:hint="eastAsia" w:asciiTheme="minorEastAsia" w:hAnsiTheme="minorEastAsia"/>
        </w:rPr>
        <w:t>X</w:t>
      </w:r>
      <w:r>
        <w:rPr>
          <w:rFonts w:asciiTheme="minorEastAsia" w:hAnsiTheme="minorEastAsia"/>
        </w:rPr>
        <w:t>2</w:t>
      </w:r>
      <w:r>
        <w:rPr>
          <w:rFonts w:cs="Helvetica" w:asciiTheme="minorEastAsia" w:hAnsiTheme="minorEastAsia"/>
        </w:rPr>
        <w:t>……</w:t>
      </w:r>
      <w:r>
        <w:rPr>
          <w:rFonts w:hint="eastAsia" w:asciiTheme="minorEastAsia" w:hAnsiTheme="minorEastAsia"/>
        </w:rPr>
        <w:t>X</w:t>
      </w:r>
      <w:r>
        <w:rPr>
          <w:rFonts w:asciiTheme="minorEastAsia" w:hAnsiTheme="minorEastAsia"/>
        </w:rPr>
        <w:t>13</w:t>
      </w:r>
      <w:r>
        <w:rPr>
          <w:rFonts w:hint="eastAsia" w:asciiTheme="minorEastAsia" w:hAnsiTheme="minorEastAsia"/>
        </w:rPr>
        <w:t>对变量进行编码，具体如下：</w:t>
      </w:r>
    </w:p>
    <w:p>
      <w:pPr>
        <w:pStyle w:val="6"/>
        <w:keepNext/>
        <w:jc w:val="center"/>
      </w:pPr>
      <w:r>
        <w:rPr>
          <w:rFonts w:hint="eastAsia"/>
        </w:rPr>
        <w:t>表5-</w:t>
      </w:r>
      <w:r>
        <w:fldChar w:fldCharType="begin"/>
      </w:r>
      <w:r>
        <w:instrText xml:space="preserve"> </w:instrText>
      </w:r>
      <w:r>
        <w:rPr>
          <w:rFonts w:hint="eastAsia"/>
        </w:rPr>
        <w:instrText xml:space="preserve">SEQ 表5- \* ARABIC</w:instrText>
      </w:r>
      <w:r>
        <w:instrText xml:space="preserve"> </w:instrText>
      </w:r>
      <w:r>
        <w:fldChar w:fldCharType="separate"/>
      </w:r>
      <w:r>
        <w:t>2</w:t>
      </w:r>
      <w:r>
        <w:fldChar w:fldCharType="end"/>
      </w:r>
      <w:r>
        <w:t xml:space="preserve"> </w:t>
      </w:r>
      <w:r>
        <w:rPr>
          <w:rFonts w:hint="eastAsia"/>
        </w:rPr>
        <w:t>模型变量</w:t>
      </w:r>
    </w:p>
    <w:tbl>
      <w:tblPr>
        <w:tblStyle w:val="10"/>
        <w:tblW w:w="8286" w:type="dxa"/>
        <w:jc w:val="center"/>
        <w:tblInd w:w="0" w:type="dxa"/>
        <w:tblLayout w:type="fixed"/>
        <w:tblCellMar>
          <w:top w:w="0" w:type="dxa"/>
          <w:left w:w="108" w:type="dxa"/>
          <w:bottom w:w="0" w:type="dxa"/>
          <w:right w:w="108" w:type="dxa"/>
        </w:tblCellMar>
      </w:tblPr>
      <w:tblGrid>
        <w:gridCol w:w="2812"/>
        <w:gridCol w:w="5474"/>
      </w:tblGrid>
      <w:tr>
        <w:tblPrEx>
          <w:tblLayout w:type="fixed"/>
          <w:tblCellMar>
            <w:top w:w="0" w:type="dxa"/>
            <w:left w:w="108" w:type="dxa"/>
            <w:bottom w:w="0" w:type="dxa"/>
            <w:right w:w="108" w:type="dxa"/>
          </w:tblCellMar>
        </w:tblPrEx>
        <w:trPr>
          <w:trHeight w:val="340" w:hRule="atLeast"/>
          <w:jc w:val="center"/>
        </w:trPr>
        <w:tc>
          <w:tcPr>
            <w:tcW w:w="2812" w:type="dxa"/>
            <w:tcBorders>
              <w:top w:val="single" w:color="74A1BB" w:sz="8" w:space="0"/>
              <w:left w:val="single" w:color="74A1BB" w:sz="8" w:space="0"/>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变量名</w:t>
            </w:r>
          </w:p>
        </w:tc>
        <w:tc>
          <w:tcPr>
            <w:tcW w:w="5474"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变量</w:t>
            </w:r>
          </w:p>
        </w:tc>
      </w:tr>
      <w:tr>
        <w:tblPrEx>
          <w:tblLayout w:type="fixed"/>
          <w:tblCellMar>
            <w:top w:w="0" w:type="dxa"/>
            <w:left w:w="108" w:type="dxa"/>
            <w:bottom w:w="0" w:type="dxa"/>
            <w:right w:w="108" w:type="dxa"/>
          </w:tblCellMar>
        </w:tblPrEx>
        <w:trPr>
          <w:trHeight w:val="340" w:hRule="atLeast"/>
          <w:jc w:val="center"/>
        </w:trPr>
        <w:tc>
          <w:tcPr>
            <w:tcW w:w="281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X1</w:t>
            </w:r>
          </w:p>
        </w:tc>
        <w:tc>
          <w:tcPr>
            <w:tcW w:w="547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人才培养</w:t>
            </w:r>
          </w:p>
        </w:tc>
      </w:tr>
      <w:tr>
        <w:tblPrEx>
          <w:tblLayout w:type="fixed"/>
          <w:tblCellMar>
            <w:top w:w="0" w:type="dxa"/>
            <w:left w:w="108" w:type="dxa"/>
            <w:bottom w:w="0" w:type="dxa"/>
            <w:right w:w="108" w:type="dxa"/>
          </w:tblCellMar>
        </w:tblPrEx>
        <w:trPr>
          <w:trHeight w:val="340" w:hRule="atLeast"/>
          <w:jc w:val="center"/>
        </w:trPr>
        <w:tc>
          <w:tcPr>
            <w:tcW w:w="2812"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X2</w:t>
            </w:r>
          </w:p>
        </w:tc>
        <w:tc>
          <w:tcPr>
            <w:tcW w:w="547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教师授课</w:t>
            </w:r>
          </w:p>
        </w:tc>
      </w:tr>
      <w:tr>
        <w:tblPrEx>
          <w:tblLayout w:type="fixed"/>
          <w:tblCellMar>
            <w:top w:w="0" w:type="dxa"/>
            <w:left w:w="108" w:type="dxa"/>
            <w:bottom w:w="0" w:type="dxa"/>
            <w:right w:w="108" w:type="dxa"/>
          </w:tblCellMar>
        </w:tblPrEx>
        <w:trPr>
          <w:trHeight w:val="340" w:hRule="atLeast"/>
          <w:jc w:val="center"/>
        </w:trPr>
        <w:tc>
          <w:tcPr>
            <w:tcW w:w="281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X3</w:t>
            </w:r>
          </w:p>
        </w:tc>
        <w:tc>
          <w:tcPr>
            <w:tcW w:w="547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实践教学</w:t>
            </w:r>
          </w:p>
        </w:tc>
      </w:tr>
      <w:tr>
        <w:tblPrEx>
          <w:tblLayout w:type="fixed"/>
          <w:tblCellMar>
            <w:top w:w="0" w:type="dxa"/>
            <w:left w:w="108" w:type="dxa"/>
            <w:bottom w:w="0" w:type="dxa"/>
            <w:right w:w="108" w:type="dxa"/>
          </w:tblCellMar>
        </w:tblPrEx>
        <w:trPr>
          <w:trHeight w:val="340" w:hRule="atLeast"/>
          <w:jc w:val="center"/>
        </w:trPr>
        <w:tc>
          <w:tcPr>
            <w:tcW w:w="2812"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X4</w:t>
            </w:r>
          </w:p>
        </w:tc>
        <w:tc>
          <w:tcPr>
            <w:tcW w:w="547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专业及课程设置</w:t>
            </w:r>
          </w:p>
        </w:tc>
      </w:tr>
      <w:tr>
        <w:tblPrEx>
          <w:tblLayout w:type="fixed"/>
          <w:tblCellMar>
            <w:top w:w="0" w:type="dxa"/>
            <w:left w:w="108" w:type="dxa"/>
            <w:bottom w:w="0" w:type="dxa"/>
            <w:right w:w="108" w:type="dxa"/>
          </w:tblCellMar>
        </w:tblPrEx>
        <w:trPr>
          <w:trHeight w:val="340" w:hRule="atLeast"/>
          <w:jc w:val="center"/>
        </w:trPr>
        <w:tc>
          <w:tcPr>
            <w:tcW w:w="281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X5</w:t>
            </w:r>
          </w:p>
        </w:tc>
        <w:tc>
          <w:tcPr>
            <w:tcW w:w="547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母校推荐度</w:t>
            </w:r>
          </w:p>
        </w:tc>
      </w:tr>
      <w:tr>
        <w:tblPrEx>
          <w:tblLayout w:type="fixed"/>
          <w:tblCellMar>
            <w:top w:w="0" w:type="dxa"/>
            <w:left w:w="108" w:type="dxa"/>
            <w:bottom w:w="0" w:type="dxa"/>
            <w:right w:w="108" w:type="dxa"/>
          </w:tblCellMar>
        </w:tblPrEx>
        <w:trPr>
          <w:trHeight w:val="340" w:hRule="atLeast"/>
          <w:jc w:val="center"/>
        </w:trPr>
        <w:tc>
          <w:tcPr>
            <w:tcW w:w="2812"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X6</w:t>
            </w:r>
          </w:p>
        </w:tc>
        <w:tc>
          <w:tcPr>
            <w:tcW w:w="547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就业/创业指导课</w:t>
            </w:r>
          </w:p>
        </w:tc>
      </w:tr>
      <w:tr>
        <w:tblPrEx>
          <w:tblLayout w:type="fixed"/>
          <w:tblCellMar>
            <w:top w:w="0" w:type="dxa"/>
            <w:left w:w="108" w:type="dxa"/>
            <w:bottom w:w="0" w:type="dxa"/>
            <w:right w:w="108" w:type="dxa"/>
          </w:tblCellMar>
        </w:tblPrEx>
        <w:trPr>
          <w:trHeight w:val="340" w:hRule="atLeast"/>
          <w:jc w:val="center"/>
        </w:trPr>
        <w:tc>
          <w:tcPr>
            <w:tcW w:w="281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X7</w:t>
            </w:r>
          </w:p>
        </w:tc>
        <w:tc>
          <w:tcPr>
            <w:tcW w:w="547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职业咨询/辅导</w:t>
            </w:r>
          </w:p>
        </w:tc>
      </w:tr>
      <w:tr>
        <w:tblPrEx>
          <w:tblLayout w:type="fixed"/>
          <w:tblCellMar>
            <w:top w:w="0" w:type="dxa"/>
            <w:left w:w="108" w:type="dxa"/>
            <w:bottom w:w="0" w:type="dxa"/>
            <w:right w:w="108" w:type="dxa"/>
          </w:tblCellMar>
        </w:tblPrEx>
        <w:trPr>
          <w:trHeight w:val="340" w:hRule="atLeast"/>
          <w:jc w:val="center"/>
        </w:trPr>
        <w:tc>
          <w:tcPr>
            <w:tcW w:w="2812"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X8</w:t>
            </w:r>
          </w:p>
        </w:tc>
        <w:tc>
          <w:tcPr>
            <w:tcW w:w="547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校园招聘活动</w:t>
            </w:r>
          </w:p>
        </w:tc>
      </w:tr>
      <w:tr>
        <w:tblPrEx>
          <w:tblLayout w:type="fixed"/>
          <w:tblCellMar>
            <w:top w:w="0" w:type="dxa"/>
            <w:left w:w="108" w:type="dxa"/>
            <w:bottom w:w="0" w:type="dxa"/>
            <w:right w:w="108" w:type="dxa"/>
          </w:tblCellMar>
        </w:tblPrEx>
        <w:trPr>
          <w:trHeight w:val="340" w:hRule="atLeast"/>
          <w:jc w:val="center"/>
        </w:trPr>
        <w:tc>
          <w:tcPr>
            <w:tcW w:w="281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X9</w:t>
            </w:r>
          </w:p>
        </w:tc>
        <w:tc>
          <w:tcPr>
            <w:tcW w:w="547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就业信息提供与发布</w:t>
            </w:r>
          </w:p>
        </w:tc>
      </w:tr>
      <w:tr>
        <w:tblPrEx>
          <w:tblLayout w:type="fixed"/>
          <w:tblCellMar>
            <w:top w:w="0" w:type="dxa"/>
            <w:left w:w="108" w:type="dxa"/>
            <w:bottom w:w="0" w:type="dxa"/>
            <w:right w:w="108" w:type="dxa"/>
          </w:tblCellMar>
        </w:tblPrEx>
        <w:trPr>
          <w:trHeight w:val="340" w:hRule="atLeast"/>
          <w:jc w:val="center"/>
        </w:trPr>
        <w:tc>
          <w:tcPr>
            <w:tcW w:w="2812"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X10</w:t>
            </w:r>
          </w:p>
        </w:tc>
        <w:tc>
          <w:tcPr>
            <w:tcW w:w="547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就业手续办理</w:t>
            </w:r>
          </w:p>
        </w:tc>
      </w:tr>
      <w:tr>
        <w:tblPrEx>
          <w:tblLayout w:type="fixed"/>
          <w:tblCellMar>
            <w:top w:w="0" w:type="dxa"/>
            <w:left w:w="108" w:type="dxa"/>
            <w:bottom w:w="0" w:type="dxa"/>
            <w:right w:w="108" w:type="dxa"/>
          </w:tblCellMar>
        </w:tblPrEx>
        <w:trPr>
          <w:trHeight w:val="340" w:hRule="atLeast"/>
          <w:jc w:val="center"/>
        </w:trPr>
        <w:tc>
          <w:tcPr>
            <w:tcW w:w="281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X11</w:t>
            </w:r>
          </w:p>
        </w:tc>
        <w:tc>
          <w:tcPr>
            <w:tcW w:w="5474"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就业困难群体帮扶</w:t>
            </w:r>
          </w:p>
        </w:tc>
      </w:tr>
      <w:tr>
        <w:tblPrEx>
          <w:tblLayout w:type="fixed"/>
          <w:tblCellMar>
            <w:top w:w="0" w:type="dxa"/>
            <w:left w:w="108" w:type="dxa"/>
            <w:bottom w:w="0" w:type="dxa"/>
            <w:right w:w="108" w:type="dxa"/>
          </w:tblCellMar>
        </w:tblPrEx>
        <w:trPr>
          <w:trHeight w:val="340" w:hRule="atLeast"/>
          <w:jc w:val="center"/>
        </w:trPr>
        <w:tc>
          <w:tcPr>
            <w:tcW w:w="2812"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X12</w:t>
            </w:r>
          </w:p>
        </w:tc>
        <w:tc>
          <w:tcPr>
            <w:tcW w:w="5474"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就业政策宣传与讲解</w:t>
            </w:r>
          </w:p>
        </w:tc>
      </w:tr>
    </w:tbl>
    <w:p>
      <w:pPr>
        <w:pStyle w:val="5"/>
        <w:rPr>
          <w:rFonts w:asciiTheme="minorEastAsia" w:hAnsiTheme="minorEastAsia" w:eastAsiaTheme="minorEastAsia"/>
        </w:rPr>
      </w:pPr>
      <w:bookmarkStart w:id="31" w:name="_Toc499049953"/>
      <w:r>
        <w:rPr>
          <w:rFonts w:hint="eastAsia" w:asciiTheme="minorEastAsia" w:hAnsiTheme="minorEastAsia" w:eastAsiaTheme="minorEastAsia"/>
        </w:rPr>
        <w:t>2.</w:t>
      </w:r>
      <w:r>
        <w:rPr>
          <w:rFonts w:cs="MS Mincho" w:asciiTheme="minorEastAsia" w:hAnsiTheme="minorEastAsia" w:eastAsiaTheme="minorEastAsia"/>
        </w:rPr>
        <w:t>基</w:t>
      </w:r>
      <w:r>
        <w:rPr>
          <w:rFonts w:hint="eastAsia" w:asciiTheme="minorEastAsia" w:hAnsiTheme="minorEastAsia" w:eastAsiaTheme="minorEastAsia"/>
        </w:rPr>
        <w:t>础统计</w:t>
      </w:r>
      <w:bookmarkEnd w:id="31"/>
    </w:p>
    <w:p>
      <w:pPr>
        <w:ind w:firstLine="480" w:firstLineChars="200"/>
      </w:pPr>
      <w:r>
        <w:t>如下</w:t>
      </w:r>
      <w:r>
        <w:rPr>
          <w:rFonts w:hint="eastAsia"/>
        </w:rPr>
        <w:t>图</w:t>
      </w:r>
      <w:r>
        <w:t>所示，各指</w:t>
      </w:r>
      <w:r>
        <w:rPr>
          <w:rFonts w:hint="eastAsia"/>
        </w:rPr>
        <w:t>标满</w:t>
      </w:r>
      <w:r>
        <w:t>意度得分中，得分最高的是</w:t>
      </w:r>
      <w:r>
        <w:rPr>
          <w:rFonts w:hint="eastAsia"/>
        </w:rPr>
        <w:t>就业信息提供与发布，为</w:t>
      </w:r>
      <w:r>
        <w:t>4.39分，</w:t>
      </w:r>
      <w:r>
        <w:rPr>
          <w:rFonts w:hint="eastAsia"/>
        </w:rPr>
        <w:t>其次是校园招聘活动（</w:t>
      </w:r>
      <w:r>
        <w:t>4.35</w:t>
      </w:r>
      <w:r>
        <w:rPr>
          <w:rFonts w:hint="eastAsia"/>
        </w:rPr>
        <w:t>分）。得分说</w:t>
      </w:r>
      <w:r>
        <w:t>明</w:t>
      </w:r>
      <w:r>
        <w:rPr>
          <w:rFonts w:hint="eastAsia"/>
        </w:rPr>
        <w:t>学院能及时的提供与发布就业信息，举办各类校园招聘会，为毕业生就业提供了有效帮助，得到毕业生认可。</w:t>
      </w:r>
    </w:p>
    <w:p>
      <w:pPr>
        <w:keepNext/>
        <w:jc w:val="center"/>
      </w:pPr>
      <w:r>
        <w:drawing>
          <wp:inline distT="0" distB="0" distL="0" distR="0">
            <wp:extent cx="3819525" cy="2600325"/>
            <wp:effectExtent l="0" t="0" r="9525"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6"/>
        <w:jc w:val="center"/>
      </w:pPr>
      <w:r>
        <w:rPr>
          <w:rFonts w:hint="eastAsia"/>
        </w:rPr>
        <w:t>图5-</w:t>
      </w:r>
      <w:r>
        <w:fldChar w:fldCharType="begin"/>
      </w:r>
      <w:r>
        <w:instrText xml:space="preserve"> </w:instrText>
      </w:r>
      <w:r>
        <w:rPr>
          <w:rFonts w:hint="eastAsia"/>
        </w:rPr>
        <w:instrText xml:space="preserve">SEQ 图5- \* ARABIC</w:instrText>
      </w:r>
      <w:r>
        <w:instrText xml:space="preserve"> </w:instrText>
      </w:r>
      <w:r>
        <w:fldChar w:fldCharType="separate"/>
      </w:r>
      <w:r>
        <w:t>6</w:t>
      </w:r>
      <w:r>
        <w:fldChar w:fldCharType="end"/>
      </w:r>
      <w:r>
        <w:t xml:space="preserve"> </w:t>
      </w:r>
      <w:r>
        <w:rPr>
          <w:rFonts w:hint="eastAsia"/>
        </w:rPr>
        <w:t>各指标满意度得分</w:t>
      </w:r>
    </w:p>
    <w:p>
      <w:pPr>
        <w:pStyle w:val="5"/>
        <w:rPr>
          <w:rFonts w:asciiTheme="minorEastAsia" w:hAnsiTheme="minorEastAsia" w:eastAsiaTheme="minorEastAsia"/>
        </w:rPr>
      </w:pPr>
      <w:bookmarkStart w:id="32" w:name="_Toc499049955"/>
      <w:r>
        <w:rPr>
          <w:rFonts w:hint="eastAsia" w:asciiTheme="minorEastAsia" w:hAnsiTheme="minorEastAsia" w:eastAsiaTheme="minorEastAsia"/>
        </w:rPr>
        <w:t>3.</w:t>
      </w:r>
      <w:r>
        <w:rPr>
          <w:rFonts w:cs="MS Mincho" w:asciiTheme="minorEastAsia" w:hAnsiTheme="minorEastAsia" w:eastAsiaTheme="minorEastAsia"/>
        </w:rPr>
        <w:t>模型建立</w:t>
      </w:r>
      <w:bookmarkEnd w:id="32"/>
    </w:p>
    <w:p>
      <w:pPr>
        <w:ind w:firstLine="480" w:firstLineChars="200"/>
      </w:pPr>
      <w:r>
        <w:t>利用</w:t>
      </w:r>
      <w:r>
        <w:rPr>
          <w:rFonts w:hint="eastAsia"/>
        </w:rPr>
        <w:t>S</w:t>
      </w:r>
      <w:r>
        <w:t>PSS，</w:t>
      </w:r>
      <w:r>
        <w:rPr>
          <w:rFonts w:hint="eastAsia"/>
        </w:rPr>
        <w:t>对调</w:t>
      </w:r>
      <w:r>
        <w:t>研清洗之后所得的1234</w:t>
      </w:r>
      <w:r>
        <w:rPr>
          <w:rFonts w:hint="eastAsia"/>
        </w:rPr>
        <w:t>组样本进行主成分分析，</w:t>
      </w:r>
      <w:r>
        <w:t>得到如下</w:t>
      </w:r>
      <w:r>
        <w:rPr>
          <w:rFonts w:hint="eastAsia"/>
        </w:rPr>
        <w:t>结</w:t>
      </w:r>
      <w:r>
        <w:t>果。</w:t>
      </w:r>
    </w:p>
    <w:p>
      <w:pPr>
        <w:ind w:firstLine="480" w:firstLineChars="200"/>
      </w:pPr>
      <w:bookmarkStart w:id="33" w:name="_Toc499049956"/>
      <w:r>
        <w:t>（</w:t>
      </w:r>
      <w:r>
        <w:rPr>
          <w:rFonts w:hint="eastAsia"/>
        </w:rPr>
        <w:t>1</w:t>
      </w:r>
      <w:r>
        <w:t>）可靠性</w:t>
      </w:r>
      <w:r>
        <w:rPr>
          <w:rFonts w:hint="eastAsia"/>
        </w:rPr>
        <w:t>检验</w:t>
      </w:r>
      <w:bookmarkEnd w:id="33"/>
    </w:p>
    <w:p>
      <w:pPr>
        <w:pStyle w:val="6"/>
        <w:keepNext/>
        <w:jc w:val="center"/>
      </w:pPr>
      <w:r>
        <w:rPr>
          <w:rFonts w:hint="eastAsia"/>
        </w:rPr>
        <w:t>表5-</w:t>
      </w:r>
      <w:r>
        <w:fldChar w:fldCharType="begin"/>
      </w:r>
      <w:r>
        <w:instrText xml:space="preserve"> </w:instrText>
      </w:r>
      <w:r>
        <w:rPr>
          <w:rFonts w:hint="eastAsia"/>
        </w:rPr>
        <w:instrText xml:space="preserve">SEQ 表5- \* ARABIC</w:instrText>
      </w:r>
      <w:r>
        <w:instrText xml:space="preserve"> </w:instrText>
      </w:r>
      <w:r>
        <w:fldChar w:fldCharType="separate"/>
      </w:r>
      <w:r>
        <w:t>3</w:t>
      </w:r>
      <w:r>
        <w:fldChar w:fldCharType="end"/>
      </w:r>
      <w:r>
        <w:t xml:space="preserve"> </w:t>
      </w:r>
      <w:r>
        <w:rPr>
          <w:rFonts w:hint="eastAsia"/>
        </w:rPr>
        <w:t>可靠性统计量</w:t>
      </w:r>
    </w:p>
    <w:tbl>
      <w:tblPr>
        <w:tblStyle w:val="10"/>
        <w:tblW w:w="8286" w:type="dxa"/>
        <w:jc w:val="center"/>
        <w:tblInd w:w="0" w:type="dxa"/>
        <w:tblLayout w:type="fixed"/>
        <w:tblCellMar>
          <w:top w:w="0" w:type="dxa"/>
          <w:left w:w="108" w:type="dxa"/>
          <w:bottom w:w="0" w:type="dxa"/>
          <w:right w:w="108" w:type="dxa"/>
        </w:tblCellMar>
      </w:tblPr>
      <w:tblGrid>
        <w:gridCol w:w="2472"/>
        <w:gridCol w:w="4811"/>
        <w:gridCol w:w="1003"/>
      </w:tblGrid>
      <w:tr>
        <w:tblPrEx>
          <w:tblLayout w:type="fixed"/>
          <w:tblCellMar>
            <w:top w:w="0" w:type="dxa"/>
            <w:left w:w="108" w:type="dxa"/>
            <w:bottom w:w="0" w:type="dxa"/>
            <w:right w:w="108" w:type="dxa"/>
          </w:tblCellMar>
        </w:tblPrEx>
        <w:trPr>
          <w:trHeight w:val="340" w:hRule="atLeast"/>
          <w:jc w:val="center"/>
        </w:trPr>
        <w:tc>
          <w:tcPr>
            <w:tcW w:w="2472" w:type="dxa"/>
            <w:tcBorders>
              <w:top w:val="single" w:color="74A1BB" w:sz="8" w:space="0"/>
              <w:left w:val="single" w:color="74A1BB" w:sz="8" w:space="0"/>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克隆巴赫 Alpha</w:t>
            </w:r>
          </w:p>
        </w:tc>
        <w:tc>
          <w:tcPr>
            <w:tcW w:w="4811"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基于标准化项的克隆巴赫 Alpha</w:t>
            </w:r>
          </w:p>
        </w:tc>
        <w:tc>
          <w:tcPr>
            <w:tcW w:w="1003"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项数</w:t>
            </w:r>
          </w:p>
        </w:tc>
      </w:tr>
      <w:tr>
        <w:tblPrEx>
          <w:tblLayout w:type="fixed"/>
          <w:tblCellMar>
            <w:top w:w="0" w:type="dxa"/>
            <w:left w:w="108" w:type="dxa"/>
            <w:bottom w:w="0" w:type="dxa"/>
            <w:right w:w="108" w:type="dxa"/>
          </w:tblCellMar>
        </w:tblPrEx>
        <w:trPr>
          <w:trHeight w:val="340" w:hRule="atLeast"/>
          <w:jc w:val="center"/>
        </w:trPr>
        <w:tc>
          <w:tcPr>
            <w:tcW w:w="247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0.95</w:t>
            </w:r>
          </w:p>
        </w:tc>
        <w:tc>
          <w:tcPr>
            <w:tcW w:w="481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0.95</w:t>
            </w:r>
          </w:p>
        </w:tc>
        <w:tc>
          <w:tcPr>
            <w:tcW w:w="1003"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12</w:t>
            </w:r>
          </w:p>
        </w:tc>
      </w:tr>
    </w:tbl>
    <w:p>
      <w:pPr>
        <w:ind w:firstLine="480" w:firstLineChars="200"/>
      </w:pPr>
      <w:r>
        <w:t>通</w:t>
      </w:r>
      <w:r>
        <w:rPr>
          <w:rFonts w:hint="eastAsia"/>
        </w:rPr>
        <w:t>过</w:t>
      </w:r>
      <w:r>
        <w:t>上表可以看出：克隆巴赫系数（</w:t>
      </w:r>
      <w:r>
        <w:rPr>
          <w:rFonts w:hint="eastAsia"/>
        </w:rPr>
        <w:t>A</w:t>
      </w:r>
      <w:r>
        <w:t>lpha）</w:t>
      </w:r>
      <w:r>
        <w:rPr>
          <w:rFonts w:hint="eastAsia"/>
        </w:rPr>
        <w:t>=</w:t>
      </w:r>
      <w:r>
        <w:t>0.95，信度分析</w:t>
      </w:r>
      <w:r>
        <w:rPr>
          <w:rFonts w:hint="eastAsia"/>
        </w:rPr>
        <w:t>结</w:t>
      </w:r>
      <w:r>
        <w:t>果非常好，因此</w:t>
      </w:r>
      <w:r>
        <w:rPr>
          <w:rFonts w:hint="eastAsia"/>
        </w:rPr>
        <w:t>该</w:t>
      </w:r>
      <w:r>
        <w:t>量表具有很高的内在一致性，可靠性</w:t>
      </w:r>
      <w:r>
        <w:rPr>
          <w:rFonts w:hint="eastAsia"/>
        </w:rPr>
        <w:t>较强</w:t>
      </w:r>
      <w:r>
        <w:t>，</w:t>
      </w:r>
      <w:r>
        <w:rPr>
          <w:rFonts w:hint="eastAsia"/>
        </w:rPr>
        <w:t>问</w:t>
      </w:r>
      <w:r>
        <w:t>卷</w:t>
      </w:r>
      <w:r>
        <w:rPr>
          <w:rFonts w:hint="eastAsia"/>
        </w:rPr>
        <w:t>设计</w:t>
      </w:r>
      <w:r>
        <w:t>合理，数据分析</w:t>
      </w:r>
      <w:r>
        <w:rPr>
          <w:rFonts w:hint="eastAsia"/>
        </w:rPr>
        <w:t>结</w:t>
      </w:r>
      <w:r>
        <w:t>果可靠。</w:t>
      </w:r>
    </w:p>
    <w:p>
      <w:pPr>
        <w:ind w:firstLine="480" w:firstLineChars="200"/>
      </w:pPr>
      <w:bookmarkStart w:id="34" w:name="_Toc499049958"/>
      <w:r>
        <w:t>（</w:t>
      </w:r>
      <w:r>
        <w:rPr>
          <w:rFonts w:hint="eastAsia"/>
        </w:rPr>
        <w:t>2</w:t>
      </w:r>
      <w:r>
        <w:t>）</w:t>
      </w:r>
      <w:r>
        <w:rPr>
          <w:rFonts w:hint="eastAsia"/>
        </w:rPr>
        <w:t>对所分析数据进行K</w:t>
      </w:r>
      <w:r>
        <w:t>MO</w:t>
      </w:r>
      <w:r>
        <w:rPr>
          <w:rFonts w:hint="eastAsia"/>
        </w:rPr>
        <w:t>检验和B</w:t>
      </w:r>
      <w:r>
        <w:t>artlett球度</w:t>
      </w:r>
      <w:r>
        <w:rPr>
          <w:rFonts w:hint="eastAsia"/>
        </w:rPr>
        <w:t>检验</w:t>
      </w:r>
      <w:bookmarkEnd w:id="34"/>
    </w:p>
    <w:p>
      <w:pPr>
        <w:pStyle w:val="6"/>
        <w:keepNext/>
        <w:jc w:val="center"/>
      </w:pPr>
      <w:r>
        <w:rPr>
          <w:rFonts w:hint="eastAsia"/>
        </w:rPr>
        <w:t>表5-</w:t>
      </w:r>
      <w:r>
        <w:fldChar w:fldCharType="begin"/>
      </w:r>
      <w:r>
        <w:instrText xml:space="preserve"> </w:instrText>
      </w:r>
      <w:r>
        <w:rPr>
          <w:rFonts w:hint="eastAsia"/>
        </w:rPr>
        <w:instrText xml:space="preserve">SEQ 表5- \* ARABIC</w:instrText>
      </w:r>
      <w:r>
        <w:instrText xml:space="preserve"> </w:instrText>
      </w:r>
      <w:r>
        <w:fldChar w:fldCharType="separate"/>
      </w:r>
      <w:r>
        <w:t>4</w:t>
      </w:r>
      <w:r>
        <w:fldChar w:fldCharType="end"/>
      </w:r>
      <w:r>
        <w:t xml:space="preserve"> </w:t>
      </w:r>
      <w:r>
        <w:rPr>
          <w:rFonts w:hint="eastAsia"/>
        </w:rPr>
        <w:t>KMO检验和Bartlett的检验</w:t>
      </w:r>
    </w:p>
    <w:tbl>
      <w:tblPr>
        <w:tblStyle w:val="10"/>
        <w:tblW w:w="8286" w:type="dxa"/>
        <w:jc w:val="center"/>
        <w:tblInd w:w="0" w:type="dxa"/>
        <w:tblLayout w:type="fixed"/>
        <w:tblCellMar>
          <w:top w:w="0" w:type="dxa"/>
          <w:left w:w="108" w:type="dxa"/>
          <w:bottom w:w="0" w:type="dxa"/>
          <w:right w:w="108" w:type="dxa"/>
        </w:tblCellMar>
      </w:tblPr>
      <w:tblGrid>
        <w:gridCol w:w="3188"/>
        <w:gridCol w:w="2549"/>
        <w:gridCol w:w="2549"/>
      </w:tblGrid>
      <w:tr>
        <w:tblPrEx>
          <w:tblLayout w:type="fixed"/>
          <w:tblCellMar>
            <w:top w:w="0" w:type="dxa"/>
            <w:left w:w="108" w:type="dxa"/>
            <w:bottom w:w="0" w:type="dxa"/>
            <w:right w:w="108" w:type="dxa"/>
          </w:tblCellMar>
        </w:tblPrEx>
        <w:trPr>
          <w:trHeight w:val="340" w:hRule="atLeast"/>
          <w:jc w:val="center"/>
        </w:trPr>
        <w:tc>
          <w:tcPr>
            <w:tcW w:w="3188" w:type="dxa"/>
            <w:tcBorders>
              <w:top w:val="single" w:color="74A1BB" w:sz="8" w:space="0"/>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KMO取样适切性量数。</w:t>
            </w:r>
          </w:p>
        </w:tc>
        <w:tc>
          <w:tcPr>
            <w:tcW w:w="2549" w:type="dxa"/>
            <w:tcBorders>
              <w:top w:val="single" w:color="74A1BB" w:sz="8" w:space="0"/>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2549" w:type="dxa"/>
            <w:tcBorders>
              <w:top w:val="single" w:color="74A1BB" w:sz="8" w:space="0"/>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0.938</w:t>
            </w:r>
          </w:p>
        </w:tc>
      </w:tr>
      <w:tr>
        <w:tblPrEx>
          <w:tblLayout w:type="fixed"/>
          <w:tblCellMar>
            <w:top w:w="0" w:type="dxa"/>
            <w:left w:w="108" w:type="dxa"/>
            <w:bottom w:w="0" w:type="dxa"/>
            <w:right w:w="108" w:type="dxa"/>
          </w:tblCellMar>
        </w:tblPrEx>
        <w:trPr>
          <w:trHeight w:val="340" w:hRule="atLeast"/>
          <w:jc w:val="center"/>
        </w:trPr>
        <w:tc>
          <w:tcPr>
            <w:tcW w:w="3188"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巴特利特球形度检验</w:t>
            </w:r>
          </w:p>
        </w:tc>
        <w:tc>
          <w:tcPr>
            <w:tcW w:w="2549"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近似卡方</w:t>
            </w:r>
          </w:p>
        </w:tc>
        <w:tc>
          <w:tcPr>
            <w:tcW w:w="2549"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14503.648</w:t>
            </w:r>
          </w:p>
        </w:tc>
      </w:tr>
      <w:tr>
        <w:tblPrEx>
          <w:tblLayout w:type="fixed"/>
          <w:tblCellMar>
            <w:top w:w="0" w:type="dxa"/>
            <w:left w:w="108" w:type="dxa"/>
            <w:bottom w:w="0" w:type="dxa"/>
            <w:right w:w="108" w:type="dxa"/>
          </w:tblCellMar>
        </w:tblPrEx>
        <w:trPr>
          <w:trHeight w:val="340" w:hRule="atLeast"/>
          <w:jc w:val="center"/>
        </w:trPr>
        <w:tc>
          <w:tcPr>
            <w:tcW w:w="3188"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2549"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自由度</w:t>
            </w:r>
          </w:p>
        </w:tc>
        <w:tc>
          <w:tcPr>
            <w:tcW w:w="2549"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66</w:t>
            </w:r>
          </w:p>
        </w:tc>
      </w:tr>
      <w:tr>
        <w:tblPrEx>
          <w:tblLayout w:type="fixed"/>
          <w:tblCellMar>
            <w:top w:w="0" w:type="dxa"/>
            <w:left w:w="108" w:type="dxa"/>
            <w:bottom w:w="0" w:type="dxa"/>
            <w:right w:w="108" w:type="dxa"/>
          </w:tblCellMar>
        </w:tblPrEx>
        <w:trPr>
          <w:trHeight w:val="340" w:hRule="atLeast"/>
          <w:jc w:val="center"/>
        </w:trPr>
        <w:tc>
          <w:tcPr>
            <w:tcW w:w="3188"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2549"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显著性</w:t>
            </w:r>
          </w:p>
        </w:tc>
        <w:tc>
          <w:tcPr>
            <w:tcW w:w="2549"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w:t>
            </w:r>
          </w:p>
        </w:tc>
      </w:tr>
    </w:tbl>
    <w:p>
      <w:pPr>
        <w:ind w:firstLine="480" w:firstLineChars="200"/>
      </w:pPr>
      <w:r>
        <w:t>从上表分析</w:t>
      </w:r>
      <w:r>
        <w:rPr>
          <w:rFonts w:hint="eastAsia"/>
        </w:rPr>
        <w:t>结</w:t>
      </w:r>
      <w:r>
        <w:t>果可以看出，</w:t>
      </w:r>
      <w:r>
        <w:rPr>
          <w:rFonts w:hint="eastAsia"/>
        </w:rPr>
        <w:t>K</w:t>
      </w:r>
      <w:r>
        <w:t>MO=0.938，</w:t>
      </w:r>
      <w:r>
        <w:rPr>
          <w:rFonts w:hint="eastAsia"/>
        </w:rPr>
        <w:t>说</w:t>
      </w:r>
      <w:r>
        <w:t>明本次所取得</w:t>
      </w:r>
      <w:r>
        <w:rPr>
          <w:rFonts w:hint="eastAsia"/>
        </w:rPr>
        <w:t>样</w:t>
      </w:r>
      <w:r>
        <w:t>本量是非常合适的，各</w:t>
      </w:r>
      <w:r>
        <w:rPr>
          <w:rFonts w:hint="eastAsia"/>
        </w:rPr>
        <w:t>变</w:t>
      </w:r>
      <w:r>
        <w:t>量的偏相关系数符合要求；由</w:t>
      </w:r>
      <w:r>
        <w:rPr>
          <w:rFonts w:hint="eastAsia"/>
        </w:rPr>
        <w:t>显</w:t>
      </w:r>
      <w:r>
        <w:t>著性（</w:t>
      </w:r>
      <w:r>
        <w:rPr>
          <w:rFonts w:hint="eastAsia"/>
        </w:rPr>
        <w:t>P值）=</w:t>
      </w:r>
      <w:r>
        <w:t>0.000可知，比例相关矩</w:t>
      </w:r>
      <w:r>
        <w:rPr>
          <w:rFonts w:hint="eastAsia"/>
        </w:rPr>
        <w:t>阵</w:t>
      </w:r>
      <w:r>
        <w:t>所建立的模型也是非常合适的。</w:t>
      </w:r>
    </w:p>
    <w:p>
      <w:pPr>
        <w:ind w:firstLine="480" w:firstLineChars="200"/>
      </w:pPr>
      <w:bookmarkStart w:id="35" w:name="_Toc499049960"/>
      <w:r>
        <w:t>（</w:t>
      </w:r>
      <w:r>
        <w:rPr>
          <w:rFonts w:hint="eastAsia"/>
        </w:rPr>
        <w:t>3</w:t>
      </w:r>
      <w:r>
        <w:t>）特征</w:t>
      </w:r>
      <w:r>
        <w:rPr>
          <w:rFonts w:hint="eastAsia"/>
        </w:rPr>
        <w:t>值</w:t>
      </w:r>
      <w:r>
        <w:t>和</w:t>
      </w:r>
      <w:r>
        <w:rPr>
          <w:rFonts w:hint="eastAsia"/>
        </w:rPr>
        <w:t>贡</w:t>
      </w:r>
      <w:r>
        <w:t>献率</w:t>
      </w:r>
      <w:bookmarkEnd w:id="35"/>
    </w:p>
    <w:p>
      <w:pPr>
        <w:ind w:firstLine="480" w:firstLineChars="200"/>
      </w:pPr>
      <w:r>
        <w:t>运用主成分因子提取法，</w:t>
      </w:r>
      <w:r>
        <w:rPr>
          <w:rFonts w:hint="eastAsia"/>
        </w:rPr>
        <w:t>进</w:t>
      </w:r>
      <w:r>
        <w:t>行因子分析，</w:t>
      </w:r>
      <w:r>
        <w:rPr>
          <w:rFonts w:hint="eastAsia"/>
        </w:rPr>
        <w:t>处</w:t>
      </w:r>
      <w:r>
        <w:t>理得到各个</w:t>
      </w:r>
      <w:r>
        <w:rPr>
          <w:rFonts w:hint="eastAsia"/>
        </w:rPr>
        <w:t>变</w:t>
      </w:r>
      <w:r>
        <w:t>量的相关系数矩</w:t>
      </w:r>
      <w:r>
        <w:rPr>
          <w:rFonts w:hint="eastAsia"/>
        </w:rPr>
        <w:t>阵</w:t>
      </w:r>
      <w:r>
        <w:t>的特征</w:t>
      </w:r>
      <w:r>
        <w:rPr>
          <w:rFonts w:hint="eastAsia"/>
        </w:rPr>
        <w:t>值</w:t>
      </w:r>
      <w:r>
        <w:t>和方差</w:t>
      </w:r>
      <w:r>
        <w:rPr>
          <w:rFonts w:hint="eastAsia"/>
        </w:rPr>
        <w:t>贡</w:t>
      </w:r>
      <w:r>
        <w:t>献率，具体</w:t>
      </w:r>
      <w:r>
        <w:rPr>
          <w:rFonts w:hint="eastAsia"/>
        </w:rPr>
        <w:t>结</w:t>
      </w:r>
      <w:r>
        <w:t>果</w:t>
      </w:r>
      <w:r>
        <w:rPr>
          <w:rFonts w:hint="eastAsia"/>
        </w:rPr>
        <w:t>见</w:t>
      </w:r>
      <w:r>
        <w:t>下表，从下表可以看出，</w:t>
      </w:r>
      <w:r>
        <w:rPr>
          <w:rFonts w:hint="eastAsia"/>
        </w:rPr>
        <w:t>经过对</w:t>
      </w:r>
      <w:r>
        <w:t>因子</w:t>
      </w:r>
      <w:r>
        <w:rPr>
          <w:rFonts w:hint="eastAsia"/>
        </w:rPr>
        <w:t>载</w:t>
      </w:r>
      <w:r>
        <w:t>荷矩</w:t>
      </w:r>
      <w:r>
        <w:rPr>
          <w:rFonts w:hint="eastAsia"/>
        </w:rPr>
        <w:t>阵进</w:t>
      </w:r>
      <w:r>
        <w:t>行旋</w:t>
      </w:r>
      <w:r>
        <w:rPr>
          <w:rFonts w:hint="eastAsia"/>
        </w:rPr>
        <w:t>转</w:t>
      </w:r>
      <w:r>
        <w:t>，各</w:t>
      </w:r>
      <w:r>
        <w:rPr>
          <w:rFonts w:hint="eastAsia"/>
        </w:rPr>
        <w:t>变</w:t>
      </w:r>
      <w:r>
        <w:t>量的相关系数矩</w:t>
      </w:r>
      <w:r>
        <w:rPr>
          <w:rFonts w:hint="eastAsia"/>
        </w:rPr>
        <w:t>阵</w:t>
      </w:r>
      <w:r>
        <w:t>的特征</w:t>
      </w:r>
      <w:r>
        <w:rPr>
          <w:rFonts w:hint="eastAsia"/>
        </w:rPr>
        <w:t>值</w:t>
      </w:r>
      <w:r>
        <w:t>有2个大于</w:t>
      </w:r>
      <w:r>
        <w:rPr>
          <w:rFonts w:hint="eastAsia"/>
        </w:rPr>
        <w:t>1</w:t>
      </w:r>
      <w:r>
        <w:t>，故提取</w:t>
      </w:r>
      <w:r>
        <w:rPr>
          <w:rFonts w:hint="eastAsia"/>
        </w:rPr>
        <w:t>两</w:t>
      </w:r>
      <w:r>
        <w:t>个主成分，它共解</w:t>
      </w:r>
      <w:r>
        <w:rPr>
          <w:rFonts w:hint="eastAsia"/>
        </w:rPr>
        <w:t>释了原始变量</w:t>
      </w:r>
      <w:r>
        <w:t>78.255</w:t>
      </w:r>
      <w:r>
        <w:rPr>
          <w:rFonts w:hint="eastAsia"/>
        </w:rPr>
        <w:t>%</w:t>
      </w:r>
      <w:r>
        <w:t>的信息。可</w:t>
      </w:r>
      <w:r>
        <w:rPr>
          <w:rFonts w:hint="eastAsia"/>
        </w:rPr>
        <w:t>见</w:t>
      </w:r>
      <w:r>
        <w:t>，</w:t>
      </w:r>
      <w:r>
        <w:rPr>
          <w:rFonts w:hint="eastAsia"/>
        </w:rPr>
        <w:t>这两</w:t>
      </w:r>
      <w:r>
        <w:t>个主成分能很好地反映出原始数据所提供的主要特征信息。</w:t>
      </w:r>
    </w:p>
    <w:p>
      <w:pPr>
        <w:pStyle w:val="6"/>
        <w:keepNext/>
        <w:jc w:val="center"/>
      </w:pPr>
      <w:r>
        <w:rPr>
          <w:rFonts w:hint="eastAsia"/>
        </w:rPr>
        <w:t>表5-</w:t>
      </w:r>
      <w:r>
        <w:fldChar w:fldCharType="begin"/>
      </w:r>
      <w:r>
        <w:instrText xml:space="preserve"> </w:instrText>
      </w:r>
      <w:r>
        <w:rPr>
          <w:rFonts w:hint="eastAsia"/>
        </w:rPr>
        <w:instrText xml:space="preserve">SEQ 表5- \* ARABIC</w:instrText>
      </w:r>
      <w:r>
        <w:instrText xml:space="preserve"> </w:instrText>
      </w:r>
      <w:r>
        <w:fldChar w:fldCharType="separate"/>
      </w:r>
      <w:r>
        <w:t>5</w:t>
      </w:r>
      <w:r>
        <w:fldChar w:fldCharType="end"/>
      </w:r>
      <w:r>
        <w:t xml:space="preserve"> </w:t>
      </w:r>
      <w:r>
        <w:rPr>
          <w:rFonts w:hint="eastAsia"/>
        </w:rPr>
        <w:t>解释的总方差</w:t>
      </w:r>
    </w:p>
    <w:tbl>
      <w:tblPr>
        <w:tblStyle w:val="10"/>
        <w:tblW w:w="8286" w:type="dxa"/>
        <w:jc w:val="center"/>
        <w:tblInd w:w="0" w:type="dxa"/>
        <w:tblLayout w:type="fixed"/>
        <w:tblCellMar>
          <w:top w:w="0" w:type="dxa"/>
          <w:left w:w="108" w:type="dxa"/>
          <w:bottom w:w="0" w:type="dxa"/>
          <w:right w:w="108" w:type="dxa"/>
        </w:tblCellMar>
      </w:tblPr>
      <w:tblGrid>
        <w:gridCol w:w="992"/>
        <w:gridCol w:w="872"/>
        <w:gridCol w:w="1636"/>
        <w:gridCol w:w="1140"/>
        <w:gridCol w:w="872"/>
        <w:gridCol w:w="1636"/>
        <w:gridCol w:w="1138"/>
      </w:tblGrid>
      <w:tr>
        <w:tblPrEx>
          <w:tblLayout w:type="fixed"/>
          <w:tblCellMar>
            <w:top w:w="0" w:type="dxa"/>
            <w:left w:w="108" w:type="dxa"/>
            <w:bottom w:w="0" w:type="dxa"/>
            <w:right w:w="108" w:type="dxa"/>
          </w:tblCellMar>
        </w:tblPrEx>
        <w:trPr>
          <w:trHeight w:val="340" w:hRule="atLeast"/>
          <w:tblHeader/>
          <w:jc w:val="center"/>
        </w:trPr>
        <w:tc>
          <w:tcPr>
            <w:tcW w:w="992" w:type="dxa"/>
            <w:vMerge w:val="restart"/>
            <w:tcBorders>
              <w:top w:val="single" w:color="74A1BB" w:sz="8" w:space="0"/>
              <w:left w:val="single" w:color="74A1BB" w:sz="8" w:space="0"/>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bookmarkStart w:id="36" w:name="_Toc499049962"/>
            <w:r>
              <w:rPr>
                <w:rFonts w:hint="eastAsia" w:ascii="微软雅黑" w:hAnsi="微软雅黑" w:eastAsia="微软雅黑" w:cs="宋体"/>
                <w:b/>
                <w:bCs/>
                <w:color w:val="FFFFFF"/>
                <w:sz w:val="18"/>
                <w:szCs w:val="18"/>
              </w:rPr>
              <w:t>成分</w:t>
            </w:r>
          </w:p>
        </w:tc>
        <w:tc>
          <w:tcPr>
            <w:tcW w:w="3648" w:type="dxa"/>
            <w:gridSpan w:val="3"/>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初始特征值</w:t>
            </w:r>
          </w:p>
        </w:tc>
        <w:tc>
          <w:tcPr>
            <w:tcW w:w="3646" w:type="dxa"/>
            <w:gridSpan w:val="3"/>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提取载荷平方和</w:t>
            </w:r>
          </w:p>
        </w:tc>
      </w:tr>
      <w:tr>
        <w:tblPrEx>
          <w:tblLayout w:type="fixed"/>
          <w:tblCellMar>
            <w:top w:w="0" w:type="dxa"/>
            <w:left w:w="108" w:type="dxa"/>
            <w:bottom w:w="0" w:type="dxa"/>
            <w:right w:w="108" w:type="dxa"/>
          </w:tblCellMar>
        </w:tblPrEx>
        <w:trPr>
          <w:trHeight w:val="340" w:hRule="atLeast"/>
          <w:tblHeader/>
          <w:jc w:val="center"/>
        </w:trPr>
        <w:tc>
          <w:tcPr>
            <w:tcW w:w="992" w:type="dxa"/>
            <w:vMerge w:val="continue"/>
            <w:tcBorders>
              <w:top w:val="single" w:color="74A1BB" w:sz="8" w:space="0"/>
              <w:left w:val="single" w:color="74A1BB" w:sz="8" w:space="0"/>
              <w:bottom w:val="single" w:color="74A1BB" w:sz="8" w:space="0"/>
              <w:right w:val="single" w:color="74A1BB" w:sz="8" w:space="0"/>
            </w:tcBorders>
            <w:vAlign w:val="center"/>
          </w:tcPr>
          <w:p>
            <w:pPr>
              <w:spacing w:after="0" w:line="240" w:lineRule="auto"/>
              <w:jc w:val="left"/>
              <w:rPr>
                <w:rFonts w:ascii="微软雅黑" w:hAnsi="微软雅黑" w:eastAsia="微软雅黑" w:cs="宋体"/>
                <w:b/>
                <w:bCs/>
                <w:color w:val="FFFFFF"/>
                <w:sz w:val="18"/>
                <w:szCs w:val="18"/>
              </w:rPr>
            </w:pPr>
          </w:p>
        </w:tc>
        <w:tc>
          <w:tcPr>
            <w:tcW w:w="872" w:type="dxa"/>
            <w:tcBorders>
              <w:top w:val="nil"/>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总计</w:t>
            </w:r>
          </w:p>
        </w:tc>
        <w:tc>
          <w:tcPr>
            <w:tcW w:w="1636" w:type="dxa"/>
            <w:tcBorders>
              <w:top w:val="nil"/>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方差百分比</w:t>
            </w:r>
          </w:p>
        </w:tc>
        <w:tc>
          <w:tcPr>
            <w:tcW w:w="1140" w:type="dxa"/>
            <w:tcBorders>
              <w:top w:val="nil"/>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累积 %</w:t>
            </w:r>
          </w:p>
        </w:tc>
        <w:tc>
          <w:tcPr>
            <w:tcW w:w="872" w:type="dxa"/>
            <w:tcBorders>
              <w:top w:val="nil"/>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总计</w:t>
            </w:r>
          </w:p>
        </w:tc>
        <w:tc>
          <w:tcPr>
            <w:tcW w:w="1636" w:type="dxa"/>
            <w:tcBorders>
              <w:top w:val="nil"/>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方差百分比</w:t>
            </w:r>
          </w:p>
        </w:tc>
        <w:tc>
          <w:tcPr>
            <w:tcW w:w="1138" w:type="dxa"/>
            <w:tcBorders>
              <w:top w:val="nil"/>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累积 %</w:t>
            </w:r>
          </w:p>
        </w:tc>
      </w:tr>
      <w:tr>
        <w:tblPrEx>
          <w:tblLayout w:type="fixed"/>
          <w:tblCellMar>
            <w:top w:w="0" w:type="dxa"/>
            <w:left w:w="108" w:type="dxa"/>
            <w:bottom w:w="0" w:type="dxa"/>
            <w:right w:w="108" w:type="dxa"/>
          </w:tblCellMar>
        </w:tblPrEx>
        <w:trPr>
          <w:trHeight w:val="340" w:hRule="atLeast"/>
          <w:jc w:val="center"/>
        </w:trPr>
        <w:tc>
          <w:tcPr>
            <w:tcW w:w="99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w:t>
            </w:r>
          </w:p>
        </w:tc>
        <w:tc>
          <w:tcPr>
            <w:tcW w:w="8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7.802</w:t>
            </w:r>
          </w:p>
        </w:tc>
        <w:tc>
          <w:tcPr>
            <w:tcW w:w="1636"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65.014</w:t>
            </w:r>
          </w:p>
        </w:tc>
        <w:tc>
          <w:tcPr>
            <w:tcW w:w="1140"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65.014</w:t>
            </w:r>
          </w:p>
        </w:tc>
        <w:tc>
          <w:tcPr>
            <w:tcW w:w="8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7.802</w:t>
            </w:r>
          </w:p>
        </w:tc>
        <w:tc>
          <w:tcPr>
            <w:tcW w:w="1636"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65.014</w:t>
            </w:r>
          </w:p>
        </w:tc>
        <w:tc>
          <w:tcPr>
            <w:tcW w:w="1138"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65.014</w:t>
            </w:r>
          </w:p>
        </w:tc>
      </w:tr>
      <w:tr>
        <w:tblPrEx>
          <w:tblLayout w:type="fixed"/>
          <w:tblCellMar>
            <w:top w:w="0" w:type="dxa"/>
            <w:left w:w="108" w:type="dxa"/>
            <w:bottom w:w="0" w:type="dxa"/>
            <w:right w:w="108" w:type="dxa"/>
          </w:tblCellMar>
        </w:tblPrEx>
        <w:trPr>
          <w:trHeight w:val="340" w:hRule="atLeast"/>
          <w:jc w:val="center"/>
        </w:trPr>
        <w:tc>
          <w:tcPr>
            <w:tcW w:w="992"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w:t>
            </w:r>
          </w:p>
        </w:tc>
        <w:tc>
          <w:tcPr>
            <w:tcW w:w="8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1.589</w:t>
            </w:r>
          </w:p>
        </w:tc>
        <w:tc>
          <w:tcPr>
            <w:tcW w:w="1636"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13.24</w:t>
            </w:r>
          </w:p>
        </w:tc>
        <w:tc>
          <w:tcPr>
            <w:tcW w:w="1140"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78.255</w:t>
            </w:r>
          </w:p>
        </w:tc>
        <w:tc>
          <w:tcPr>
            <w:tcW w:w="8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1.589</w:t>
            </w:r>
          </w:p>
        </w:tc>
        <w:tc>
          <w:tcPr>
            <w:tcW w:w="1636"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13.24</w:t>
            </w:r>
          </w:p>
        </w:tc>
        <w:tc>
          <w:tcPr>
            <w:tcW w:w="1138"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78.255</w:t>
            </w:r>
          </w:p>
        </w:tc>
      </w:tr>
      <w:tr>
        <w:tblPrEx>
          <w:tblLayout w:type="fixed"/>
          <w:tblCellMar>
            <w:top w:w="0" w:type="dxa"/>
            <w:left w:w="108" w:type="dxa"/>
            <w:bottom w:w="0" w:type="dxa"/>
            <w:right w:w="108" w:type="dxa"/>
          </w:tblCellMar>
        </w:tblPrEx>
        <w:trPr>
          <w:trHeight w:val="340" w:hRule="atLeast"/>
          <w:jc w:val="center"/>
        </w:trPr>
        <w:tc>
          <w:tcPr>
            <w:tcW w:w="99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w:t>
            </w:r>
          </w:p>
        </w:tc>
        <w:tc>
          <w:tcPr>
            <w:tcW w:w="8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0.516</w:t>
            </w:r>
          </w:p>
        </w:tc>
        <w:tc>
          <w:tcPr>
            <w:tcW w:w="1636"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4.301</w:t>
            </w:r>
          </w:p>
        </w:tc>
        <w:tc>
          <w:tcPr>
            <w:tcW w:w="1140"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82.555</w:t>
            </w:r>
          </w:p>
        </w:tc>
        <w:tc>
          <w:tcPr>
            <w:tcW w:w="8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636"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138"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r>
      <w:tr>
        <w:tblPrEx>
          <w:tblLayout w:type="fixed"/>
          <w:tblCellMar>
            <w:top w:w="0" w:type="dxa"/>
            <w:left w:w="108" w:type="dxa"/>
            <w:bottom w:w="0" w:type="dxa"/>
            <w:right w:w="108" w:type="dxa"/>
          </w:tblCellMar>
        </w:tblPrEx>
        <w:trPr>
          <w:trHeight w:val="340" w:hRule="atLeast"/>
          <w:jc w:val="center"/>
        </w:trPr>
        <w:tc>
          <w:tcPr>
            <w:tcW w:w="992"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w:t>
            </w:r>
          </w:p>
        </w:tc>
        <w:tc>
          <w:tcPr>
            <w:tcW w:w="8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0.494</w:t>
            </w:r>
          </w:p>
        </w:tc>
        <w:tc>
          <w:tcPr>
            <w:tcW w:w="1636"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4.118</w:t>
            </w:r>
          </w:p>
        </w:tc>
        <w:tc>
          <w:tcPr>
            <w:tcW w:w="1140"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86.673</w:t>
            </w:r>
          </w:p>
        </w:tc>
        <w:tc>
          <w:tcPr>
            <w:tcW w:w="8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636"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138"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r>
      <w:tr>
        <w:tblPrEx>
          <w:tblLayout w:type="fixed"/>
          <w:tblCellMar>
            <w:top w:w="0" w:type="dxa"/>
            <w:left w:w="108" w:type="dxa"/>
            <w:bottom w:w="0" w:type="dxa"/>
            <w:right w:w="108" w:type="dxa"/>
          </w:tblCellMar>
        </w:tblPrEx>
        <w:trPr>
          <w:trHeight w:val="340" w:hRule="atLeast"/>
          <w:jc w:val="center"/>
        </w:trPr>
        <w:tc>
          <w:tcPr>
            <w:tcW w:w="99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w:t>
            </w:r>
          </w:p>
        </w:tc>
        <w:tc>
          <w:tcPr>
            <w:tcW w:w="8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0.295</w:t>
            </w:r>
          </w:p>
        </w:tc>
        <w:tc>
          <w:tcPr>
            <w:tcW w:w="1636"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2.458</w:t>
            </w:r>
          </w:p>
        </w:tc>
        <w:tc>
          <w:tcPr>
            <w:tcW w:w="1140"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89.131</w:t>
            </w:r>
          </w:p>
        </w:tc>
        <w:tc>
          <w:tcPr>
            <w:tcW w:w="8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636"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138"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r>
      <w:tr>
        <w:tblPrEx>
          <w:tblLayout w:type="fixed"/>
          <w:tblCellMar>
            <w:top w:w="0" w:type="dxa"/>
            <w:left w:w="108" w:type="dxa"/>
            <w:bottom w:w="0" w:type="dxa"/>
            <w:right w:w="108" w:type="dxa"/>
          </w:tblCellMar>
        </w:tblPrEx>
        <w:trPr>
          <w:trHeight w:val="340" w:hRule="atLeast"/>
          <w:jc w:val="center"/>
        </w:trPr>
        <w:tc>
          <w:tcPr>
            <w:tcW w:w="992"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6</w:t>
            </w:r>
          </w:p>
        </w:tc>
        <w:tc>
          <w:tcPr>
            <w:tcW w:w="8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0.279</w:t>
            </w:r>
          </w:p>
        </w:tc>
        <w:tc>
          <w:tcPr>
            <w:tcW w:w="1636"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2.328</w:t>
            </w:r>
          </w:p>
        </w:tc>
        <w:tc>
          <w:tcPr>
            <w:tcW w:w="1140"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91.459</w:t>
            </w:r>
          </w:p>
        </w:tc>
        <w:tc>
          <w:tcPr>
            <w:tcW w:w="8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636"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138"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r>
      <w:tr>
        <w:tblPrEx>
          <w:tblLayout w:type="fixed"/>
          <w:tblCellMar>
            <w:top w:w="0" w:type="dxa"/>
            <w:left w:w="108" w:type="dxa"/>
            <w:bottom w:w="0" w:type="dxa"/>
            <w:right w:w="108" w:type="dxa"/>
          </w:tblCellMar>
        </w:tblPrEx>
        <w:trPr>
          <w:trHeight w:val="340" w:hRule="atLeast"/>
          <w:jc w:val="center"/>
        </w:trPr>
        <w:tc>
          <w:tcPr>
            <w:tcW w:w="99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7</w:t>
            </w:r>
          </w:p>
        </w:tc>
        <w:tc>
          <w:tcPr>
            <w:tcW w:w="8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0.264</w:t>
            </w:r>
          </w:p>
        </w:tc>
        <w:tc>
          <w:tcPr>
            <w:tcW w:w="1636"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2.197</w:t>
            </w:r>
          </w:p>
        </w:tc>
        <w:tc>
          <w:tcPr>
            <w:tcW w:w="1140"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93.656</w:t>
            </w:r>
          </w:p>
        </w:tc>
        <w:tc>
          <w:tcPr>
            <w:tcW w:w="8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636"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138"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r>
      <w:tr>
        <w:tblPrEx>
          <w:tblLayout w:type="fixed"/>
          <w:tblCellMar>
            <w:top w:w="0" w:type="dxa"/>
            <w:left w:w="108" w:type="dxa"/>
            <w:bottom w:w="0" w:type="dxa"/>
            <w:right w:w="108" w:type="dxa"/>
          </w:tblCellMar>
        </w:tblPrEx>
        <w:trPr>
          <w:trHeight w:val="340" w:hRule="atLeast"/>
          <w:jc w:val="center"/>
        </w:trPr>
        <w:tc>
          <w:tcPr>
            <w:tcW w:w="992"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8</w:t>
            </w:r>
          </w:p>
        </w:tc>
        <w:tc>
          <w:tcPr>
            <w:tcW w:w="8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0.186</w:t>
            </w:r>
          </w:p>
        </w:tc>
        <w:tc>
          <w:tcPr>
            <w:tcW w:w="1636"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1.548</w:t>
            </w:r>
          </w:p>
        </w:tc>
        <w:tc>
          <w:tcPr>
            <w:tcW w:w="1140"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95.204</w:t>
            </w:r>
          </w:p>
        </w:tc>
        <w:tc>
          <w:tcPr>
            <w:tcW w:w="8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636"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138"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r>
      <w:tr>
        <w:tblPrEx>
          <w:tblLayout w:type="fixed"/>
          <w:tblCellMar>
            <w:top w:w="0" w:type="dxa"/>
            <w:left w:w="108" w:type="dxa"/>
            <w:bottom w:w="0" w:type="dxa"/>
            <w:right w:w="108" w:type="dxa"/>
          </w:tblCellMar>
        </w:tblPrEx>
        <w:trPr>
          <w:trHeight w:val="340" w:hRule="atLeast"/>
          <w:jc w:val="center"/>
        </w:trPr>
        <w:tc>
          <w:tcPr>
            <w:tcW w:w="99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9</w:t>
            </w:r>
          </w:p>
        </w:tc>
        <w:tc>
          <w:tcPr>
            <w:tcW w:w="8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0.176</w:t>
            </w:r>
          </w:p>
        </w:tc>
        <w:tc>
          <w:tcPr>
            <w:tcW w:w="1636"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1.464</w:t>
            </w:r>
          </w:p>
        </w:tc>
        <w:tc>
          <w:tcPr>
            <w:tcW w:w="1140"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96.668</w:t>
            </w:r>
          </w:p>
        </w:tc>
        <w:tc>
          <w:tcPr>
            <w:tcW w:w="8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636"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138"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r>
      <w:tr>
        <w:tblPrEx>
          <w:tblLayout w:type="fixed"/>
          <w:tblCellMar>
            <w:top w:w="0" w:type="dxa"/>
            <w:left w:w="108" w:type="dxa"/>
            <w:bottom w:w="0" w:type="dxa"/>
            <w:right w:w="108" w:type="dxa"/>
          </w:tblCellMar>
        </w:tblPrEx>
        <w:trPr>
          <w:trHeight w:val="340" w:hRule="atLeast"/>
          <w:jc w:val="center"/>
        </w:trPr>
        <w:tc>
          <w:tcPr>
            <w:tcW w:w="992"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10</w:t>
            </w:r>
          </w:p>
        </w:tc>
        <w:tc>
          <w:tcPr>
            <w:tcW w:w="8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0.153</w:t>
            </w:r>
          </w:p>
        </w:tc>
        <w:tc>
          <w:tcPr>
            <w:tcW w:w="1636"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1.276</w:t>
            </w:r>
          </w:p>
        </w:tc>
        <w:tc>
          <w:tcPr>
            <w:tcW w:w="1140"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97.944</w:t>
            </w:r>
          </w:p>
        </w:tc>
        <w:tc>
          <w:tcPr>
            <w:tcW w:w="8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636"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138"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r>
      <w:tr>
        <w:tblPrEx>
          <w:tblLayout w:type="fixed"/>
          <w:tblCellMar>
            <w:top w:w="0" w:type="dxa"/>
            <w:left w:w="108" w:type="dxa"/>
            <w:bottom w:w="0" w:type="dxa"/>
            <w:right w:w="108" w:type="dxa"/>
          </w:tblCellMar>
        </w:tblPrEx>
        <w:trPr>
          <w:trHeight w:val="340" w:hRule="atLeast"/>
          <w:jc w:val="center"/>
        </w:trPr>
        <w:tc>
          <w:tcPr>
            <w:tcW w:w="992"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11</w:t>
            </w:r>
          </w:p>
        </w:tc>
        <w:tc>
          <w:tcPr>
            <w:tcW w:w="8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0.146</w:t>
            </w:r>
          </w:p>
        </w:tc>
        <w:tc>
          <w:tcPr>
            <w:tcW w:w="1636"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1.216</w:t>
            </w:r>
          </w:p>
        </w:tc>
        <w:tc>
          <w:tcPr>
            <w:tcW w:w="1140"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99.16</w:t>
            </w:r>
          </w:p>
        </w:tc>
        <w:tc>
          <w:tcPr>
            <w:tcW w:w="8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636"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138"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r>
      <w:tr>
        <w:tblPrEx>
          <w:tblLayout w:type="fixed"/>
          <w:tblCellMar>
            <w:top w:w="0" w:type="dxa"/>
            <w:left w:w="108" w:type="dxa"/>
            <w:bottom w:w="0" w:type="dxa"/>
            <w:right w:w="108" w:type="dxa"/>
          </w:tblCellMar>
        </w:tblPrEx>
        <w:trPr>
          <w:trHeight w:val="340" w:hRule="atLeast"/>
          <w:jc w:val="center"/>
        </w:trPr>
        <w:tc>
          <w:tcPr>
            <w:tcW w:w="992"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12</w:t>
            </w:r>
          </w:p>
        </w:tc>
        <w:tc>
          <w:tcPr>
            <w:tcW w:w="8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0.101</w:t>
            </w:r>
          </w:p>
        </w:tc>
        <w:tc>
          <w:tcPr>
            <w:tcW w:w="1636"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0.84</w:t>
            </w:r>
          </w:p>
        </w:tc>
        <w:tc>
          <w:tcPr>
            <w:tcW w:w="1140"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100</w:t>
            </w:r>
          </w:p>
        </w:tc>
        <w:tc>
          <w:tcPr>
            <w:tcW w:w="8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636"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c>
          <w:tcPr>
            <w:tcW w:w="1138"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w:t>
            </w:r>
          </w:p>
        </w:tc>
      </w:tr>
      <w:tr>
        <w:tblPrEx>
          <w:tblLayout w:type="fixed"/>
          <w:tblCellMar>
            <w:top w:w="0" w:type="dxa"/>
            <w:left w:w="108" w:type="dxa"/>
            <w:bottom w:w="0" w:type="dxa"/>
            <w:right w:w="108" w:type="dxa"/>
          </w:tblCellMar>
        </w:tblPrEx>
        <w:trPr>
          <w:trHeight w:val="340" w:hRule="atLeast"/>
          <w:jc w:val="center"/>
        </w:trPr>
        <w:tc>
          <w:tcPr>
            <w:tcW w:w="8286" w:type="dxa"/>
            <w:gridSpan w:val="7"/>
            <w:tcBorders>
              <w:top w:val="single" w:color="74A1BB" w:sz="8" w:space="0"/>
              <w:left w:val="single" w:color="74A1BB" w:sz="8" w:space="0"/>
              <w:bottom w:val="single" w:color="74A1BB" w:sz="8" w:space="0"/>
              <w:right w:val="single" w:color="74A1BB" w:sz="8" w:space="0"/>
            </w:tcBorders>
            <w:shd w:val="clear" w:color="auto" w:fill="auto"/>
            <w:vAlign w:val="center"/>
          </w:tcPr>
          <w:p>
            <w:pPr>
              <w:spacing w:after="0" w:line="240" w:lineRule="auto"/>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提取方法：主成分分析法。</w:t>
            </w:r>
          </w:p>
        </w:tc>
      </w:tr>
    </w:tbl>
    <w:p>
      <w:pPr>
        <w:ind w:firstLine="480" w:firstLineChars="200"/>
      </w:pPr>
      <w:r>
        <w:t>（</w:t>
      </w:r>
      <w:r>
        <w:rPr>
          <w:rFonts w:hint="eastAsia"/>
        </w:rPr>
        <w:t>4</w:t>
      </w:r>
      <w:r>
        <w:t>）指</w:t>
      </w:r>
      <w:r>
        <w:rPr>
          <w:rFonts w:hint="eastAsia"/>
        </w:rPr>
        <w:t>标</w:t>
      </w:r>
      <w:r>
        <w:t>重要性</w:t>
      </w:r>
      <w:bookmarkEnd w:id="36"/>
    </w:p>
    <w:p>
      <w:pPr>
        <w:ind w:firstLine="480" w:firstLineChars="200"/>
      </w:pPr>
      <w:r>
        <w:t>通</w:t>
      </w:r>
      <w:r>
        <w:rPr>
          <w:rFonts w:hint="eastAsia"/>
        </w:rPr>
        <w:t>过</w:t>
      </w:r>
      <w:r>
        <w:t>各个指</w:t>
      </w:r>
      <w:r>
        <w:rPr>
          <w:rFonts w:hint="eastAsia"/>
        </w:rPr>
        <w:t>标</w:t>
      </w:r>
      <w:r>
        <w:t>重要性比</w:t>
      </w:r>
      <w:r>
        <w:rPr>
          <w:rFonts w:hint="eastAsia"/>
        </w:rPr>
        <w:t>较</w:t>
      </w:r>
      <w:r>
        <w:t>，分析得出人才培养、</w:t>
      </w:r>
      <w:r>
        <w:rPr>
          <w:rFonts w:hint="eastAsia"/>
        </w:rPr>
        <w:t>教师授课</w:t>
      </w:r>
      <w:r>
        <w:t>、</w:t>
      </w:r>
      <w:r>
        <w:rPr>
          <w:rFonts w:hint="eastAsia"/>
        </w:rPr>
        <w:t>实践教学、专业及课程设置</w:t>
      </w:r>
      <w:r>
        <w:t>的重要性都高于平均重要性，其中</w:t>
      </w:r>
      <w:r>
        <w:rPr>
          <w:rFonts w:hint="eastAsia"/>
        </w:rPr>
        <w:t>实践教学</w:t>
      </w:r>
      <w:r>
        <w:t>的</w:t>
      </w:r>
      <w:r>
        <w:rPr>
          <w:rFonts w:hint="eastAsia"/>
        </w:rPr>
        <w:t>权</w:t>
      </w:r>
      <w:r>
        <w:t>重最高</w:t>
      </w:r>
      <w:r>
        <w:rPr>
          <w:rFonts w:hint="eastAsia"/>
        </w:rPr>
        <w:t>。说明毕业生认为母校的实践教学重要性很高，学院需引起注意。</w:t>
      </w:r>
    </w:p>
    <w:p>
      <w:pPr>
        <w:keepNext/>
        <w:jc w:val="center"/>
      </w:pPr>
      <w:r>
        <w:drawing>
          <wp:inline distT="0" distB="0" distL="0" distR="0">
            <wp:extent cx="4305300" cy="23622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6"/>
        <w:jc w:val="center"/>
      </w:pPr>
      <w:r>
        <w:rPr>
          <w:rFonts w:hint="eastAsia"/>
        </w:rPr>
        <w:t>图5-</w:t>
      </w:r>
      <w:r>
        <w:fldChar w:fldCharType="begin"/>
      </w:r>
      <w:r>
        <w:instrText xml:space="preserve"> </w:instrText>
      </w:r>
      <w:r>
        <w:rPr>
          <w:rFonts w:hint="eastAsia"/>
        </w:rPr>
        <w:instrText xml:space="preserve">SEQ 图5- \* ARABIC</w:instrText>
      </w:r>
      <w:r>
        <w:instrText xml:space="preserve"> </w:instrText>
      </w:r>
      <w:r>
        <w:fldChar w:fldCharType="separate"/>
      </w:r>
      <w:r>
        <w:t>7</w:t>
      </w:r>
      <w:r>
        <w:fldChar w:fldCharType="end"/>
      </w:r>
      <w:r>
        <w:t xml:space="preserve"> </w:t>
      </w:r>
      <w:r>
        <w:rPr>
          <w:rFonts w:hint="eastAsia"/>
        </w:rPr>
        <w:t>各指标重要性</w:t>
      </w:r>
    </w:p>
    <w:p>
      <w:pPr>
        <w:pStyle w:val="5"/>
        <w:rPr>
          <w:rFonts w:asciiTheme="minorEastAsia" w:hAnsiTheme="minorEastAsia" w:eastAsiaTheme="minorEastAsia"/>
        </w:rPr>
      </w:pPr>
      <w:bookmarkStart w:id="37" w:name="_Toc499049964"/>
      <w:r>
        <w:rPr>
          <w:rFonts w:hint="eastAsia" w:asciiTheme="minorEastAsia" w:hAnsiTheme="minorEastAsia" w:eastAsiaTheme="minorEastAsia"/>
        </w:rPr>
        <w:t>4.</w:t>
      </w:r>
      <w:r>
        <w:rPr>
          <w:rFonts w:cs="MS Mincho" w:asciiTheme="minorEastAsia" w:hAnsiTheme="minorEastAsia" w:eastAsiaTheme="minorEastAsia"/>
        </w:rPr>
        <w:t>模型的</w:t>
      </w:r>
      <w:r>
        <w:rPr>
          <w:rFonts w:hint="eastAsia" w:asciiTheme="minorEastAsia" w:hAnsiTheme="minorEastAsia" w:eastAsiaTheme="minorEastAsia"/>
        </w:rPr>
        <w:t>结</w:t>
      </w:r>
      <w:r>
        <w:rPr>
          <w:rFonts w:cs="MS Mincho" w:asciiTheme="minorEastAsia" w:hAnsiTheme="minorEastAsia" w:eastAsiaTheme="minorEastAsia"/>
        </w:rPr>
        <w:t>果</w:t>
      </w:r>
      <w:bookmarkEnd w:id="37"/>
    </w:p>
    <w:p>
      <w:pPr>
        <w:ind w:firstLine="480" w:firstLineChars="200"/>
        <w:rPr>
          <w:rFonts w:asciiTheme="minorEastAsia" w:hAnsiTheme="minorEastAsia"/>
        </w:rPr>
      </w:pPr>
      <w:r>
        <w:rPr>
          <w:rFonts w:hint="eastAsia" w:asciiTheme="minorEastAsia" w:hAnsiTheme="minorEastAsia"/>
        </w:rPr>
        <w:t>将综合得分模型中指标所对应的系数归一后，即得到模型的表达式：</w:t>
      </w:r>
    </w:p>
    <w:p>
      <w:pPr>
        <w:ind w:firstLine="480" w:firstLineChars="200"/>
        <w:rPr>
          <w:rFonts w:asciiTheme="minorEastAsia" w:hAnsiTheme="minorEastAsia"/>
        </w:rPr>
      </w:pPr>
      <m:oMath>
        <m:r>
          <m:rPr>
            <m:sty m:val="p"/>
          </m:rPr>
          <w:rPr>
            <w:rFonts w:ascii="Cambria Math" w:hAnsi="Cambria Math"/>
          </w:rPr>
          <m:t>Y=0.0966</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1</m:t>
            </m:r>
            <m:ctrlPr>
              <w:rPr>
                <w:rFonts w:ascii="Cambria Math" w:hAnsi="Cambria Math"/>
              </w:rPr>
            </m:ctrlPr>
          </m:sub>
        </m:sSub>
        <m:r>
          <w:rPr>
            <w:rFonts w:ascii="Cambria Math" w:hAnsi="Cambria Math"/>
          </w:rPr>
          <m:t>+0.0978</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+0.0990</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+0.0986</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+0.0851</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5</m:t>
            </m:r>
            <m:ctrlPr>
              <w:rPr>
                <w:rFonts w:ascii="Cambria Math" w:hAnsi="Cambria Math"/>
                <w:i/>
              </w:rPr>
            </m:ctrlPr>
          </m:sub>
        </m:sSub>
        <m:r>
          <w:rPr>
            <w:rFonts w:ascii="Cambria Math" w:hAnsi="Cambria Math"/>
          </w:rPr>
          <m:t>+0.0792</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6</m:t>
            </m:r>
            <m:ctrlPr>
              <w:rPr>
                <w:rFonts w:ascii="Cambria Math" w:hAnsi="Cambria Math"/>
                <w:i/>
              </w:rPr>
            </m:ctrlPr>
          </m:sub>
        </m:sSub>
        <m:r>
          <w:rPr>
            <w:rFonts w:ascii="Cambria Math" w:hAnsi="Cambria Math"/>
          </w:rPr>
          <m:t>+0.0790</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7</m:t>
            </m:r>
            <m:ctrlPr>
              <w:rPr>
                <w:rFonts w:ascii="Cambria Math" w:hAnsi="Cambria Math"/>
                <w:i/>
              </w:rPr>
            </m:ctrlPr>
          </m:sub>
        </m:sSub>
        <m:r>
          <w:rPr>
            <w:rFonts w:ascii="Cambria Math" w:hAnsi="Cambria Math"/>
          </w:rPr>
          <m:t>+0.0713</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8</m:t>
            </m:r>
            <m:ctrlPr>
              <w:rPr>
                <w:rFonts w:ascii="Cambria Math" w:hAnsi="Cambria Math"/>
                <w:i/>
              </w:rPr>
            </m:ctrlPr>
          </m:sub>
        </m:sSub>
        <m:r>
          <w:rPr>
            <w:rFonts w:ascii="Cambria Math" w:hAnsi="Cambria Math"/>
          </w:rPr>
          <m:t>+0.0683</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9</m:t>
            </m:r>
            <m:ctrlPr>
              <w:rPr>
                <w:rFonts w:ascii="Cambria Math" w:hAnsi="Cambria Math"/>
                <w:i/>
              </w:rPr>
            </m:ctrlPr>
          </m:sub>
        </m:sSub>
        <m:r>
          <w:rPr>
            <w:rFonts w:ascii="Cambria Math" w:hAnsi="Cambria Math"/>
          </w:rPr>
          <m:t>+0.0754</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10</m:t>
            </m:r>
            <m:ctrlPr>
              <w:rPr>
                <w:rFonts w:ascii="Cambria Math" w:hAnsi="Cambria Math"/>
                <w:i/>
              </w:rPr>
            </m:ctrlPr>
          </m:sub>
        </m:sSub>
        <m:r>
          <w:rPr>
            <w:rFonts w:ascii="Cambria Math" w:hAnsi="Cambria Math"/>
          </w:rPr>
          <m:t>+0.0741</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11</m:t>
            </m:r>
            <m:ctrlPr>
              <w:rPr>
                <w:rFonts w:ascii="Cambria Math" w:hAnsi="Cambria Math"/>
                <w:i/>
              </w:rPr>
            </m:ctrlPr>
          </m:sub>
        </m:sSub>
        <m:r>
          <w:rPr>
            <w:rFonts w:ascii="Cambria Math" w:hAnsi="Cambria Math"/>
          </w:rPr>
          <m:t>+0.0755</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12</m:t>
            </m:r>
            <m:ctrlPr>
              <w:rPr>
                <w:rFonts w:ascii="Cambria Math" w:hAnsi="Cambria Math"/>
                <w:i/>
              </w:rPr>
            </m:ctrlPr>
          </m:sub>
        </m:sSub>
      </m:oMath>
      <w:r>
        <w:rPr>
          <w:rFonts w:hint="eastAsia" w:asciiTheme="minorEastAsia" w:hAnsiTheme="minorEastAsia"/>
        </w:rPr>
        <w:t>。</w:t>
      </w:r>
    </w:p>
    <w:p>
      <w:pPr>
        <w:ind w:firstLine="480" w:firstLineChars="200"/>
      </w:pPr>
      <w:r>
        <w:rPr>
          <w:rFonts w:hint="eastAsia"/>
        </w:rPr>
        <w:t>利用模型计算出毕业生对学院的综合满意度，综合满意度为9</w:t>
      </w:r>
      <w:r>
        <w:t>4.50%</w:t>
      </w:r>
      <w:r>
        <w:rPr>
          <w:rFonts w:hint="eastAsia"/>
        </w:rPr>
        <w:t>，满意度较高。</w:t>
      </w:r>
    </w:p>
    <w:p>
      <w:pPr>
        <w:sectPr>
          <w:pgSz w:w="11906" w:h="16838"/>
          <w:pgMar w:top="1440" w:right="1800" w:bottom="1440" w:left="1800" w:header="851" w:footer="992" w:gutter="0"/>
          <w:cols w:space="425" w:num="1"/>
          <w:docGrid w:type="lines" w:linePitch="312" w:charSpace="0"/>
        </w:sectPr>
      </w:pPr>
    </w:p>
    <w:p>
      <w:pPr>
        <w:pStyle w:val="2"/>
      </w:pPr>
      <w:bookmarkStart w:id="38" w:name="_Toc534985184"/>
      <w:bookmarkStart w:id="39" w:name="_Toc530778536"/>
      <w:r>
        <w:rPr>
          <w:rFonts w:hint="eastAsia"/>
        </w:rPr>
        <w:t>第六部分  用人</w:t>
      </w:r>
      <w:r>
        <w:rPr>
          <w:rFonts w:cs="宋体"/>
        </w:rPr>
        <w:t>单</w:t>
      </w:r>
      <w:r>
        <w:rPr>
          <w:rFonts w:hint="eastAsia"/>
        </w:rPr>
        <w:t>位的</w:t>
      </w:r>
      <w:r>
        <w:rPr>
          <w:rFonts w:cs="宋体"/>
        </w:rPr>
        <w:t>评</w:t>
      </w:r>
      <w:r>
        <w:rPr>
          <w:rFonts w:hint="eastAsia"/>
        </w:rPr>
        <w:t>价</w:t>
      </w:r>
      <w:bookmarkEnd w:id="38"/>
      <w:bookmarkEnd w:id="39"/>
    </w:p>
    <w:p>
      <w:pPr>
        <w:pStyle w:val="3"/>
      </w:pPr>
      <w:bookmarkStart w:id="40" w:name="_Toc534985185"/>
      <w:bookmarkStart w:id="41" w:name="_Toc530778537"/>
      <w:r>
        <w:rPr>
          <w:rFonts w:hint="eastAsia"/>
        </w:rPr>
        <w:t>一、用人</w:t>
      </w:r>
      <w:r>
        <w:rPr>
          <w:rFonts w:cs="宋体"/>
        </w:rPr>
        <w:t>单</w:t>
      </w:r>
      <w:r>
        <w:rPr>
          <w:rFonts w:hint="eastAsia"/>
        </w:rPr>
        <w:t>位基本情况</w:t>
      </w:r>
      <w:bookmarkEnd w:id="40"/>
      <w:bookmarkEnd w:id="41"/>
    </w:p>
    <w:p>
      <w:pPr>
        <w:pStyle w:val="4"/>
      </w:pPr>
      <w:bookmarkStart w:id="42" w:name="_Toc530778538"/>
      <w:bookmarkStart w:id="43" w:name="_Toc534985186"/>
      <w:r>
        <w:rPr>
          <w:rFonts w:hint="eastAsia"/>
        </w:rPr>
        <w:t>（一）单位性质</w:t>
      </w:r>
      <w:bookmarkEnd w:id="42"/>
      <w:bookmarkEnd w:id="43"/>
    </w:p>
    <w:p>
      <w:pPr>
        <w:ind w:firstLine="480" w:firstLineChars="200"/>
      </w:pPr>
      <w:r>
        <w:t>调查样本中</w:t>
      </w:r>
      <w:r>
        <w:rPr>
          <w:rFonts w:hint="eastAsia"/>
        </w:rPr>
        <w:t>的</w:t>
      </w:r>
      <w:r>
        <w:t>用人单位性质分布</w:t>
      </w:r>
      <w:r>
        <w:rPr>
          <w:rFonts w:hint="eastAsia"/>
        </w:rPr>
        <w:t>显示，其他（民营）企业居多，占比超过一半（67.35%）；其后依次是三资企业（18.37%）、其他教学单位（6</w:t>
      </w:r>
      <w:r>
        <w:t>.</w:t>
      </w:r>
      <w:r>
        <w:rPr>
          <w:rFonts w:hint="eastAsia"/>
        </w:rPr>
        <w:t>12%）、其他事业单位和国有企业</w:t>
      </w:r>
      <w:r>
        <w:t>（4.</w:t>
      </w:r>
      <w:r>
        <w:rPr>
          <w:rFonts w:hint="eastAsia"/>
        </w:rPr>
        <w:t>08%）。</w:t>
      </w:r>
    </w:p>
    <w:p>
      <w:pPr>
        <w:keepNext/>
        <w:jc w:val="center"/>
      </w:pPr>
      <w:r>
        <w:drawing>
          <wp:inline distT="0" distB="0" distL="0" distR="0">
            <wp:extent cx="3181350" cy="2038350"/>
            <wp:effectExtent l="0" t="0" r="0" b="0"/>
            <wp:docPr id="117" name="图表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6"/>
        <w:jc w:val="center"/>
      </w:pPr>
      <w:r>
        <w:rPr>
          <w:rFonts w:hint="eastAsia"/>
        </w:rPr>
        <w:t>图6-</w:t>
      </w:r>
      <w:r>
        <w:fldChar w:fldCharType="begin"/>
      </w:r>
      <w:r>
        <w:instrText xml:space="preserve"> </w:instrText>
      </w:r>
      <w:r>
        <w:rPr>
          <w:rFonts w:hint="eastAsia"/>
        </w:rPr>
        <w:instrText xml:space="preserve">SEQ 图6- \* ARABIC</w:instrText>
      </w:r>
      <w:r>
        <w:instrText xml:space="preserve"> </w:instrText>
      </w:r>
      <w:r>
        <w:fldChar w:fldCharType="separate"/>
      </w:r>
      <w:r>
        <w:t>1</w:t>
      </w:r>
      <w:r>
        <w:fldChar w:fldCharType="end"/>
      </w:r>
      <w:r>
        <w:t xml:space="preserve"> </w:t>
      </w:r>
      <w:r>
        <w:rPr>
          <w:rFonts w:hint="eastAsia"/>
        </w:rPr>
        <w:t>调查样本中的用人单位性质</w:t>
      </w:r>
    </w:p>
    <w:p>
      <w:pPr>
        <w:pStyle w:val="4"/>
      </w:pPr>
      <w:bookmarkStart w:id="44" w:name="_Toc534985187"/>
      <w:bookmarkStart w:id="45" w:name="_Toc530778540"/>
      <w:r>
        <w:rPr>
          <w:rFonts w:hint="eastAsia"/>
        </w:rPr>
        <w:t>（二）单位规模</w:t>
      </w:r>
      <w:bookmarkEnd w:id="44"/>
      <w:bookmarkEnd w:id="45"/>
    </w:p>
    <w:p>
      <w:pPr>
        <w:ind w:firstLine="480" w:firstLineChars="200"/>
      </w:pPr>
      <w:r>
        <w:rPr>
          <w:rFonts w:hint="eastAsia"/>
        </w:rPr>
        <w:t>调查样本中的</w:t>
      </w:r>
      <w:r>
        <w:t>用人单位规模</w:t>
      </w:r>
      <w:r>
        <w:rPr>
          <w:rFonts w:hint="eastAsia"/>
        </w:rPr>
        <w:t>分布显示，规模在1000人以上的单位占比最大，为30.61%，其次是规模在50-99人和100-499人的单位，占比均为22.45%。1-49人的单位为20</w:t>
      </w:r>
      <w:r>
        <w:t>.</w:t>
      </w:r>
      <w:r>
        <w:rPr>
          <w:rFonts w:hint="eastAsia"/>
        </w:rPr>
        <w:t>41%。</w:t>
      </w:r>
    </w:p>
    <w:p>
      <w:pPr>
        <w:keepNext/>
        <w:jc w:val="center"/>
      </w:pPr>
      <w:r>
        <w:drawing>
          <wp:inline distT="0" distB="0" distL="0" distR="0">
            <wp:extent cx="3067050" cy="1752600"/>
            <wp:effectExtent l="0" t="0" r="0" b="0"/>
            <wp:docPr id="118" name="图表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6"/>
        <w:jc w:val="center"/>
      </w:pPr>
      <w:r>
        <w:rPr>
          <w:rFonts w:hint="eastAsia"/>
        </w:rPr>
        <w:t>图6-</w:t>
      </w:r>
      <w:r>
        <w:fldChar w:fldCharType="begin"/>
      </w:r>
      <w:r>
        <w:instrText xml:space="preserve"> </w:instrText>
      </w:r>
      <w:r>
        <w:rPr>
          <w:rFonts w:hint="eastAsia"/>
        </w:rPr>
        <w:instrText xml:space="preserve">SEQ 图6- \* ARABIC</w:instrText>
      </w:r>
      <w:r>
        <w:instrText xml:space="preserve"> </w:instrText>
      </w:r>
      <w:r>
        <w:fldChar w:fldCharType="separate"/>
      </w:r>
      <w:r>
        <w:t>2</w:t>
      </w:r>
      <w:r>
        <w:fldChar w:fldCharType="end"/>
      </w:r>
      <w:r>
        <w:t xml:space="preserve"> </w:t>
      </w:r>
      <w:r>
        <w:rPr>
          <w:rFonts w:hint="eastAsia"/>
        </w:rPr>
        <w:t>调查样本中的用人单位规模特征</w:t>
      </w:r>
    </w:p>
    <w:p>
      <w:pPr>
        <w:pStyle w:val="4"/>
      </w:pPr>
      <w:bookmarkStart w:id="46" w:name="_Toc534985188"/>
      <w:bookmarkStart w:id="47" w:name="_Toc530778539"/>
      <w:r>
        <w:rPr>
          <w:rFonts w:hint="eastAsia"/>
        </w:rPr>
        <w:t>（三）单位行业</w:t>
      </w:r>
      <w:bookmarkEnd w:id="46"/>
      <w:bookmarkEnd w:id="47"/>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调查样本中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用人单位行业</w:t>
      </w:r>
      <w:r>
        <w:rPr>
          <w:rFonts w:hint="eastAsia"/>
          <w:color w:val="000000" w:themeColor="text1"/>
          <w14:textFill>
            <w14:solidFill>
              <w14:schemeClr w14:val="tx1"/>
            </w14:solidFill>
          </w14:textFill>
        </w:rPr>
        <w:t>分布显示，单位行业最多的是教育（26.53%），信息传输，软件和信息技术服务业（14.29%），其次是制造业和房地产业（10.20%）。</w:t>
      </w:r>
    </w:p>
    <w:p>
      <w:pPr>
        <w:ind w:firstLine="480" w:firstLineChars="200"/>
        <w:jc w:val="center"/>
      </w:pPr>
      <w:r>
        <w:drawing>
          <wp:inline distT="0" distB="0" distL="0" distR="0">
            <wp:extent cx="4762500" cy="3105150"/>
            <wp:effectExtent l="0" t="0" r="0" b="0"/>
            <wp:docPr id="112" name="图表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6"/>
        <w:jc w:val="center"/>
      </w:pPr>
      <w:r>
        <w:rPr>
          <w:rFonts w:hint="eastAsia"/>
        </w:rPr>
        <w:t xml:space="preserve">图6 </w:t>
      </w:r>
      <w:r>
        <w:fldChar w:fldCharType="begin"/>
      </w:r>
      <w:r>
        <w:instrText xml:space="preserve"> </w:instrText>
      </w:r>
      <w:r>
        <w:rPr>
          <w:rFonts w:hint="eastAsia"/>
        </w:rPr>
        <w:instrText xml:space="preserve">SEQ 图6- \* ARABIC</w:instrText>
      </w:r>
      <w:r>
        <w:instrText xml:space="preserve"> </w:instrText>
      </w:r>
      <w:r>
        <w:fldChar w:fldCharType="separate"/>
      </w:r>
      <w:r>
        <w:t>3</w:t>
      </w:r>
      <w:r>
        <w:fldChar w:fldCharType="end"/>
      </w:r>
      <w:r>
        <w:t xml:space="preserve"> </w:t>
      </w:r>
      <w:r>
        <w:rPr>
          <w:rFonts w:hint="eastAsia"/>
        </w:rPr>
        <w:t>调查样本中的用人单位行业</w:t>
      </w:r>
    </w:p>
    <w:p>
      <w:pPr>
        <w:pStyle w:val="4"/>
      </w:pPr>
      <w:bookmarkStart w:id="48" w:name="_Toc534985189"/>
      <w:bookmarkStart w:id="49" w:name="_Toc530778541"/>
      <w:r>
        <w:rPr>
          <w:rFonts w:hint="eastAsia"/>
        </w:rPr>
        <w:t>（四）单位地域</w:t>
      </w:r>
      <w:bookmarkEnd w:id="48"/>
      <w:bookmarkEnd w:id="49"/>
    </w:p>
    <w:p>
      <w:pPr>
        <w:ind w:firstLine="480" w:firstLineChars="200"/>
      </w:pPr>
      <w:r>
        <w:rPr>
          <w:rFonts w:hint="eastAsia"/>
        </w:rPr>
        <w:t>调查样本中的用人单位所在地域分布显示，单位所在地域最多的是湖南省内，占比57.14</w:t>
      </w:r>
      <w:r>
        <w:t>%</w:t>
      </w:r>
      <w:r>
        <w:rPr>
          <w:rFonts w:hint="eastAsia"/>
        </w:rPr>
        <w:t>，其后依次是珠三角区域（14.29</w:t>
      </w:r>
      <w:r>
        <w:t>%</w:t>
      </w:r>
      <w:r>
        <w:rPr>
          <w:rFonts w:hint="eastAsia"/>
        </w:rPr>
        <w:t>）、长三角区域（</w:t>
      </w:r>
      <w:r>
        <w:t>6.12%</w:t>
      </w:r>
      <w:r>
        <w:rPr>
          <w:rFonts w:hint="eastAsia"/>
        </w:rPr>
        <w:t>）。</w:t>
      </w:r>
    </w:p>
    <w:p>
      <w:pPr>
        <w:keepNext/>
        <w:jc w:val="center"/>
      </w:pPr>
      <w:r>
        <w:drawing>
          <wp:inline distT="0" distB="0" distL="0" distR="0">
            <wp:extent cx="4133850" cy="2114550"/>
            <wp:effectExtent l="0" t="0" r="0" b="0"/>
            <wp:docPr id="114" name="图表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6"/>
        <w:jc w:val="center"/>
      </w:pPr>
      <w:r>
        <w:rPr>
          <w:rFonts w:hint="eastAsia"/>
        </w:rPr>
        <w:t>图6-</w:t>
      </w:r>
      <w:r>
        <w:fldChar w:fldCharType="begin"/>
      </w:r>
      <w:r>
        <w:instrText xml:space="preserve"> </w:instrText>
      </w:r>
      <w:r>
        <w:rPr>
          <w:rFonts w:hint="eastAsia"/>
        </w:rPr>
        <w:instrText xml:space="preserve">SEQ 图6- \* ARABIC</w:instrText>
      </w:r>
      <w:r>
        <w:instrText xml:space="preserve"> </w:instrText>
      </w:r>
      <w:r>
        <w:fldChar w:fldCharType="separate"/>
      </w:r>
      <w:r>
        <w:t>4</w:t>
      </w:r>
      <w:r>
        <w:fldChar w:fldCharType="end"/>
      </w:r>
      <w:r>
        <w:t xml:space="preserve"> </w:t>
      </w:r>
      <w:r>
        <w:rPr>
          <w:rFonts w:hint="eastAsia"/>
        </w:rPr>
        <w:t>调查样本中的用人单位所在地域</w:t>
      </w:r>
    </w:p>
    <w:p>
      <w:pPr>
        <w:pStyle w:val="4"/>
      </w:pPr>
      <w:bookmarkStart w:id="50" w:name="_Toc534985190"/>
      <w:bookmarkStart w:id="51" w:name="_Toc530778542"/>
      <w:r>
        <w:rPr>
          <w:rFonts w:hint="eastAsia"/>
        </w:rPr>
        <w:t>（五）招聘方式</w:t>
      </w:r>
      <w:bookmarkEnd w:id="50"/>
      <w:bookmarkEnd w:id="51"/>
    </w:p>
    <w:p>
      <w:pPr>
        <w:ind w:firstLine="480" w:firstLineChars="200"/>
      </w:pPr>
      <w:r>
        <w:rPr>
          <w:rFonts w:hint="eastAsia"/>
        </w:rPr>
        <w:t>调查样本中的用人单位招聘方式显示，用人单位主要的招聘方式为校园大型招聘会（79.59</w:t>
      </w:r>
      <w:r>
        <w:t>%</w:t>
      </w:r>
      <w:r>
        <w:rPr>
          <w:rFonts w:hint="eastAsia"/>
        </w:rPr>
        <w:t>）、社会招聘（16.33%）、在实习（见习）中选拔和定向（订单）培养（2</w:t>
      </w:r>
      <w:r>
        <w:t>.</w:t>
      </w:r>
      <w:r>
        <w:rPr>
          <w:rFonts w:hint="eastAsia"/>
        </w:rPr>
        <w:t>04</w:t>
      </w:r>
      <w:r>
        <w:t>%</w:t>
      </w:r>
      <w:r>
        <w:rPr>
          <w:rFonts w:hint="eastAsia"/>
        </w:rPr>
        <w:t>）。</w:t>
      </w:r>
    </w:p>
    <w:p>
      <w:pPr>
        <w:keepNext/>
        <w:jc w:val="center"/>
      </w:pPr>
      <w:r>
        <w:drawing>
          <wp:inline distT="0" distB="0" distL="0" distR="0">
            <wp:extent cx="3667125" cy="2228850"/>
            <wp:effectExtent l="0" t="0" r="9525"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6"/>
        <w:jc w:val="center"/>
      </w:pPr>
      <w:r>
        <w:rPr>
          <w:rFonts w:hint="eastAsia"/>
        </w:rPr>
        <w:t>图6-</w:t>
      </w:r>
      <w:r>
        <w:fldChar w:fldCharType="begin"/>
      </w:r>
      <w:r>
        <w:instrText xml:space="preserve"> </w:instrText>
      </w:r>
      <w:r>
        <w:rPr>
          <w:rFonts w:hint="eastAsia"/>
        </w:rPr>
        <w:instrText xml:space="preserve">SEQ 图6- \* ARABIC</w:instrText>
      </w:r>
      <w:r>
        <w:instrText xml:space="preserve"> </w:instrText>
      </w:r>
      <w:r>
        <w:fldChar w:fldCharType="separate"/>
      </w:r>
      <w:r>
        <w:t>5</w:t>
      </w:r>
      <w:r>
        <w:fldChar w:fldCharType="end"/>
      </w:r>
      <w:r>
        <w:t xml:space="preserve"> </w:t>
      </w:r>
      <w:r>
        <w:rPr>
          <w:rFonts w:hint="eastAsia"/>
        </w:rPr>
        <w:t>调查样本中的用人单位招聘方式</w:t>
      </w:r>
    </w:p>
    <w:p>
      <w:pPr>
        <w:pStyle w:val="3"/>
      </w:pPr>
      <w:bookmarkStart w:id="52" w:name="_Toc530778543"/>
      <w:bookmarkStart w:id="53" w:name="_Toc534985191"/>
      <w:r>
        <w:rPr>
          <w:rFonts w:hint="eastAsia"/>
        </w:rPr>
        <w:t>二、用人单位需求分析</w:t>
      </w:r>
      <w:bookmarkEnd w:id="52"/>
      <w:bookmarkEnd w:id="53"/>
    </w:p>
    <w:p>
      <w:pPr>
        <w:pStyle w:val="4"/>
      </w:pPr>
      <w:bookmarkStart w:id="54" w:name="_Toc530778544"/>
      <w:bookmarkStart w:id="55" w:name="_Toc534985192"/>
      <w:r>
        <w:rPr>
          <w:rFonts w:hint="eastAsia"/>
        </w:rPr>
        <w:t>（一）</w:t>
      </w:r>
      <w:bookmarkEnd w:id="54"/>
      <w:r>
        <w:rPr>
          <w:rFonts w:hint="eastAsia"/>
        </w:rPr>
        <w:t>录用关键因素</w:t>
      </w:r>
      <w:bookmarkEnd w:id="55"/>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调查样本中的用人单位关注的能力因素显示，用人单位关注最多的是综合素质（</w:t>
      </w:r>
      <w:r>
        <w:rPr>
          <w:color w:val="000000" w:themeColor="text1"/>
          <w14:textFill>
            <w14:solidFill>
              <w14:schemeClr w14:val="tx1"/>
            </w14:solidFill>
          </w14:textFill>
        </w:rPr>
        <w:t>30.77</w:t>
      </w:r>
      <w:r>
        <w:rPr>
          <w:rFonts w:hint="eastAsia"/>
          <w:color w:val="000000" w:themeColor="text1"/>
          <w14:textFill>
            <w14:solidFill>
              <w14:schemeClr w14:val="tx1"/>
            </w14:solidFill>
          </w14:textFill>
        </w:rPr>
        <w:t>%），其次是社会适应能力（</w:t>
      </w:r>
      <w:r>
        <w:rPr>
          <w:color w:val="000000" w:themeColor="text1"/>
          <w14:textFill>
            <w14:solidFill>
              <w14:schemeClr w14:val="tx1"/>
            </w14:solidFill>
          </w14:textFill>
        </w:rPr>
        <w:t>26.15</w:t>
      </w:r>
      <w:r>
        <w:rPr>
          <w:rFonts w:hint="eastAsia"/>
          <w:color w:val="000000" w:themeColor="text1"/>
          <w14:textFill>
            <w14:solidFill>
              <w14:schemeClr w14:val="tx1"/>
            </w14:solidFill>
          </w14:textFill>
        </w:rPr>
        <w:t>%）、所学专业（</w:t>
      </w:r>
      <w:r>
        <w:rPr>
          <w:color w:val="000000" w:themeColor="text1"/>
          <w14:textFill>
            <w14:solidFill>
              <w14:schemeClr w14:val="tx1"/>
            </w14:solidFill>
          </w14:textFill>
        </w:rPr>
        <w:t>16.92</w:t>
      </w:r>
      <w:r>
        <w:rPr>
          <w:rFonts w:hint="eastAsia"/>
          <w:color w:val="000000" w:themeColor="text1"/>
          <w14:textFill>
            <w14:solidFill>
              <w14:schemeClr w14:val="tx1"/>
            </w14:solidFill>
          </w14:textFill>
        </w:rPr>
        <w:t>%）和社会关系（</w:t>
      </w:r>
      <w:r>
        <w:rPr>
          <w:color w:val="000000" w:themeColor="text1"/>
          <w14:textFill>
            <w14:solidFill>
              <w14:schemeClr w14:val="tx1"/>
            </w14:solidFill>
          </w14:textFill>
        </w:rPr>
        <w:t>9.23</w:t>
      </w:r>
      <w:r>
        <w:rPr>
          <w:rFonts w:hint="eastAsia"/>
          <w:color w:val="000000" w:themeColor="text1"/>
          <w14:textFill>
            <w14:solidFill>
              <w14:schemeClr w14:val="tx1"/>
            </w14:solidFill>
          </w14:textFill>
        </w:rPr>
        <w:t>%）。</w:t>
      </w:r>
    </w:p>
    <w:p>
      <w:pPr>
        <w:keepNext/>
        <w:jc w:val="center"/>
      </w:pPr>
      <w:r>
        <w:drawing>
          <wp:inline distT="0" distB="0" distL="0" distR="0">
            <wp:extent cx="3676650" cy="2181225"/>
            <wp:effectExtent l="0" t="0" r="0" b="9525"/>
            <wp:docPr id="123" name="图表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6"/>
        <w:jc w:val="center"/>
      </w:pPr>
      <w:r>
        <w:rPr>
          <w:rFonts w:hint="eastAsia"/>
        </w:rPr>
        <w:t>图6-</w:t>
      </w:r>
      <w:r>
        <w:fldChar w:fldCharType="begin"/>
      </w:r>
      <w:r>
        <w:instrText xml:space="preserve"> </w:instrText>
      </w:r>
      <w:r>
        <w:rPr>
          <w:rFonts w:hint="eastAsia"/>
        </w:rPr>
        <w:instrText xml:space="preserve">SEQ 图6- \* ARABIC</w:instrText>
      </w:r>
      <w:r>
        <w:instrText xml:space="preserve"> </w:instrText>
      </w:r>
      <w:r>
        <w:fldChar w:fldCharType="separate"/>
      </w:r>
      <w:r>
        <w:t>6</w:t>
      </w:r>
      <w:r>
        <w:fldChar w:fldCharType="end"/>
      </w:r>
      <w:r>
        <w:t xml:space="preserve"> </w:t>
      </w:r>
      <w:r>
        <w:rPr>
          <w:rFonts w:hint="eastAsia"/>
        </w:rPr>
        <w:t>调查样本中用人单位关注的因素</w:t>
      </w:r>
    </w:p>
    <w:p>
      <w:pPr>
        <w:pStyle w:val="4"/>
      </w:pPr>
      <w:bookmarkStart w:id="56" w:name="_Toc534985193"/>
      <w:bookmarkStart w:id="57" w:name="_Toc530778545"/>
      <w:bookmarkStart w:id="58" w:name="OLE_LINK8"/>
      <w:bookmarkStart w:id="59" w:name="OLE_LINK9"/>
      <w:r>
        <w:rPr>
          <w:rFonts w:hint="eastAsia"/>
        </w:rPr>
        <w:t>（二）专业关注程度</w:t>
      </w:r>
      <w:bookmarkEnd w:id="56"/>
      <w:bookmarkEnd w:id="57"/>
    </w:p>
    <w:p>
      <w:pPr>
        <w:ind w:firstLine="480" w:firstLineChars="200"/>
      </w:pPr>
      <w:r>
        <w:rPr>
          <w:rFonts w:hint="eastAsia"/>
        </w:rPr>
        <w:t>调查样本中的</w:t>
      </w:r>
      <w:r>
        <w:t>用人单位</w:t>
      </w:r>
      <w:r>
        <w:rPr>
          <w:rFonts w:hint="eastAsia"/>
        </w:rPr>
        <w:t>对专业关</w:t>
      </w:r>
      <w:r>
        <w:t>注</w:t>
      </w:r>
      <w:r>
        <w:rPr>
          <w:rFonts w:hint="eastAsia"/>
        </w:rPr>
        <w:t>程度显示，75.50</w:t>
      </w:r>
      <w:r>
        <w:t>%的用人</w:t>
      </w:r>
      <w:r>
        <w:rPr>
          <w:rFonts w:hint="eastAsia"/>
        </w:rPr>
        <w:t>单位对专业有</w:t>
      </w:r>
      <w:r>
        <w:t>一定的</w:t>
      </w:r>
      <w:r>
        <w:rPr>
          <w:rFonts w:hint="eastAsia"/>
        </w:rPr>
        <w:t>关</w:t>
      </w:r>
      <w:r>
        <w:t>注</w:t>
      </w:r>
      <w:r>
        <w:rPr>
          <w:rFonts w:hint="eastAsia"/>
        </w:rPr>
        <w:t>，其中12.24</w:t>
      </w:r>
      <w:r>
        <w:t>%的用人</w:t>
      </w:r>
      <w:r>
        <w:rPr>
          <w:rFonts w:hint="eastAsia"/>
        </w:rPr>
        <w:t>单位</w:t>
      </w:r>
      <w:r>
        <w:t>非常</w:t>
      </w:r>
      <w:r>
        <w:rPr>
          <w:rFonts w:hint="eastAsia"/>
        </w:rPr>
        <w:t>关</w:t>
      </w:r>
      <w:r>
        <w:t>注。</w:t>
      </w:r>
    </w:p>
    <w:p>
      <w:pPr>
        <w:keepNext/>
        <w:jc w:val="center"/>
      </w:pPr>
      <w:r>
        <w:drawing>
          <wp:inline distT="0" distB="0" distL="0" distR="0">
            <wp:extent cx="3362325" cy="2162175"/>
            <wp:effectExtent l="0" t="0" r="9525" b="9525"/>
            <wp:docPr id="120" name="图表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6"/>
        <w:jc w:val="center"/>
      </w:pPr>
      <w:r>
        <w:rPr>
          <w:rFonts w:hint="eastAsia"/>
        </w:rPr>
        <w:t>图6-</w:t>
      </w:r>
      <w:r>
        <w:fldChar w:fldCharType="begin"/>
      </w:r>
      <w:r>
        <w:instrText xml:space="preserve"> </w:instrText>
      </w:r>
      <w:r>
        <w:rPr>
          <w:rFonts w:hint="eastAsia"/>
        </w:rPr>
        <w:instrText xml:space="preserve">SEQ 图6- \* ARABIC</w:instrText>
      </w:r>
      <w:r>
        <w:instrText xml:space="preserve"> </w:instrText>
      </w:r>
      <w:r>
        <w:fldChar w:fldCharType="separate"/>
      </w:r>
      <w:r>
        <w:t>7</w:t>
      </w:r>
      <w:r>
        <w:fldChar w:fldCharType="end"/>
      </w:r>
      <w:r>
        <w:rPr>
          <w:rFonts w:hint="eastAsia"/>
        </w:rPr>
        <w:t xml:space="preserve"> 调查样本中的用人单位对专业关注程度</w:t>
      </w:r>
      <w:bookmarkEnd w:id="58"/>
      <w:bookmarkEnd w:id="59"/>
    </w:p>
    <w:p>
      <w:pPr>
        <w:pStyle w:val="3"/>
      </w:pPr>
      <w:bookmarkStart w:id="60" w:name="_Toc530778547"/>
      <w:bookmarkStart w:id="61" w:name="_Toc534985194"/>
      <w:r>
        <w:rPr>
          <w:rFonts w:hint="eastAsia"/>
        </w:rPr>
        <w:t>三、用人单位对毕业生的评价</w:t>
      </w:r>
      <w:bookmarkEnd w:id="60"/>
      <w:bookmarkEnd w:id="61"/>
    </w:p>
    <w:p>
      <w:pPr>
        <w:pStyle w:val="4"/>
      </w:pPr>
      <w:bookmarkStart w:id="62" w:name="_Toc534985195"/>
      <w:bookmarkStart w:id="63" w:name="_Toc530778549"/>
      <w:r>
        <w:rPr>
          <w:rFonts w:hint="eastAsia"/>
        </w:rPr>
        <w:t>（一）毕业生满意度评价</w:t>
      </w:r>
      <w:bookmarkEnd w:id="62"/>
      <w:bookmarkEnd w:id="63"/>
    </w:p>
    <w:p>
      <w:pPr>
        <w:ind w:firstLine="480" w:firstLineChars="200"/>
      </w:pPr>
      <w:r>
        <w:rPr>
          <w:rFonts w:hint="eastAsia"/>
        </w:rPr>
        <w:t>调查样本中的用人单位对毕业生的满意度显示，用人单位对毕业生的满意度为100%，其中38.78%的用人单位对毕业生非常满意。</w:t>
      </w:r>
    </w:p>
    <w:p>
      <w:pPr>
        <w:keepNext/>
        <w:jc w:val="center"/>
      </w:pPr>
      <w:r>
        <w:drawing>
          <wp:inline distT="0" distB="0" distL="0" distR="0">
            <wp:extent cx="4076700" cy="1971675"/>
            <wp:effectExtent l="0" t="0" r="0" b="9525"/>
            <wp:docPr id="121" name="图表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6"/>
        <w:jc w:val="center"/>
      </w:pPr>
      <w:r>
        <w:rPr>
          <w:rFonts w:hint="eastAsia"/>
        </w:rPr>
        <w:t>图6-</w:t>
      </w:r>
      <w:r>
        <w:fldChar w:fldCharType="begin"/>
      </w:r>
      <w:r>
        <w:instrText xml:space="preserve"> </w:instrText>
      </w:r>
      <w:r>
        <w:rPr>
          <w:rFonts w:hint="eastAsia"/>
        </w:rPr>
        <w:instrText xml:space="preserve">SEQ 图6- \* ARABIC</w:instrText>
      </w:r>
      <w:r>
        <w:instrText xml:space="preserve"> </w:instrText>
      </w:r>
      <w:r>
        <w:fldChar w:fldCharType="separate"/>
      </w:r>
      <w:r>
        <w:t>8</w:t>
      </w:r>
      <w:r>
        <w:fldChar w:fldCharType="end"/>
      </w:r>
      <w:r>
        <w:rPr>
          <w:rFonts w:hint="eastAsia"/>
        </w:rPr>
        <w:t xml:space="preserve"> 调查样本中的用人单位对毕业生的满意度</w:t>
      </w:r>
    </w:p>
    <w:p>
      <w:pPr>
        <w:pStyle w:val="4"/>
      </w:pPr>
      <w:bookmarkStart w:id="64" w:name="_Toc534985196"/>
      <w:bookmarkStart w:id="65" w:name="_Toc530778550"/>
      <w:r>
        <w:rPr>
          <w:rFonts w:hint="eastAsia"/>
        </w:rPr>
        <w:t>（二）毕业生能力评价</w:t>
      </w:r>
      <w:bookmarkEnd w:id="64"/>
      <w:bookmarkEnd w:id="65"/>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调研</w:t>
      </w:r>
      <w:r>
        <w:rPr>
          <w:color w:val="000000" w:themeColor="text1"/>
          <w14:textFill>
            <w14:solidFill>
              <w14:schemeClr w14:val="tx1"/>
            </w14:solidFill>
          </w14:textFill>
        </w:rPr>
        <w:t>从12个方面来描述用人</w:t>
      </w:r>
      <w:r>
        <w:rPr>
          <w:rFonts w:hint="eastAsia"/>
          <w:color w:val="000000" w:themeColor="text1"/>
          <w14:textFill>
            <w14:solidFill>
              <w14:schemeClr w14:val="tx1"/>
            </w14:solidFill>
          </w14:textFill>
        </w:rPr>
        <w:t>单</w:t>
      </w:r>
      <w:r>
        <w:rPr>
          <w:color w:val="000000" w:themeColor="text1"/>
          <w14:textFill>
            <w14:solidFill>
              <w14:schemeClr w14:val="tx1"/>
            </w14:solidFill>
          </w14:textFill>
        </w:rPr>
        <w:t>位</w:t>
      </w:r>
      <w:r>
        <w:rPr>
          <w:rFonts w:hint="eastAsia"/>
          <w:color w:val="000000" w:themeColor="text1"/>
          <w14:textFill>
            <w14:solidFill>
              <w14:schemeClr w14:val="tx1"/>
            </w14:solidFill>
          </w14:textFill>
        </w:rPr>
        <w:t>对毕业</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能力</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评</w:t>
      </w:r>
      <w:r>
        <w:rPr>
          <w:color w:val="000000" w:themeColor="text1"/>
          <w14:textFill>
            <w14:solidFill>
              <w14:schemeClr w14:val="tx1"/>
            </w14:solidFill>
          </w14:textFill>
        </w:rPr>
        <w:t>价。</w:t>
      </w:r>
      <w:r>
        <w:rPr>
          <w:rFonts w:hint="eastAsia"/>
          <w:color w:val="000000" w:themeColor="text1"/>
          <w14:textFill>
            <w14:solidFill>
              <w14:schemeClr w14:val="tx1"/>
            </w14:solidFill>
          </w14:textFill>
        </w:rPr>
        <w:t>评</w:t>
      </w:r>
      <w:r>
        <w:rPr>
          <w:color w:val="000000" w:themeColor="text1"/>
          <w14:textFill>
            <w14:solidFill>
              <w14:schemeClr w14:val="tx1"/>
            </w14:solidFill>
          </w14:textFill>
        </w:rPr>
        <w:t>价分</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五个</w:t>
      </w:r>
      <w:r>
        <w:rPr>
          <w:rFonts w:hint="eastAsia"/>
          <w:color w:val="000000" w:themeColor="text1"/>
          <w14:textFill>
            <w14:solidFill>
              <w14:schemeClr w14:val="tx1"/>
            </w14:solidFill>
          </w14:textFill>
        </w:rPr>
        <w:t>维</w:t>
      </w:r>
      <w:r>
        <w:rPr>
          <w:color w:val="000000" w:themeColor="text1"/>
          <w14:textFill>
            <w14:solidFill>
              <w14:schemeClr w14:val="tx1"/>
            </w14:solidFill>
          </w14:textFill>
        </w:rPr>
        <w:t>度：非常</w:t>
      </w:r>
      <w:r>
        <w:rPr>
          <w:rFonts w:hint="eastAsia"/>
          <w:color w:val="000000" w:themeColor="text1"/>
          <w14:textFill>
            <w14:solidFill>
              <w14:schemeClr w14:val="tx1"/>
            </w14:solidFill>
          </w14:textFill>
        </w:rPr>
        <w:t>满</w:t>
      </w:r>
      <w:r>
        <w:rPr>
          <w:color w:val="000000" w:themeColor="text1"/>
          <w14:textFill>
            <w14:solidFill>
              <w14:schemeClr w14:val="tx1"/>
            </w14:solidFill>
          </w14:textFill>
        </w:rPr>
        <w:t>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满</w:t>
      </w:r>
      <w:r>
        <w:rPr>
          <w:color w:val="000000" w:themeColor="text1"/>
          <w14:textFill>
            <w14:solidFill>
              <w14:schemeClr w14:val="tx1"/>
            </w14:solidFill>
          </w14:textFill>
        </w:rPr>
        <w:t>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较满</w:t>
      </w:r>
      <w:r>
        <w:rPr>
          <w:color w:val="000000" w:themeColor="text1"/>
          <w14:textFill>
            <w14:solidFill>
              <w14:schemeClr w14:val="tx1"/>
            </w14:solidFill>
          </w14:textFill>
        </w:rPr>
        <w:t>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、不太</w:t>
      </w:r>
      <w:r>
        <w:rPr>
          <w:rFonts w:hint="eastAsia"/>
          <w:color w:val="000000" w:themeColor="text1"/>
          <w14:textFill>
            <w14:solidFill>
              <w14:schemeClr w14:val="tx1"/>
            </w14:solidFill>
          </w14:textFill>
        </w:rPr>
        <w:t>满</w:t>
      </w:r>
      <w:r>
        <w:rPr>
          <w:color w:val="000000" w:themeColor="text1"/>
          <w14:textFill>
            <w14:solidFill>
              <w14:schemeClr w14:val="tx1"/>
            </w14:solidFill>
          </w14:textFill>
        </w:rPr>
        <w:t>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、很不</w:t>
      </w:r>
      <w:r>
        <w:rPr>
          <w:rFonts w:hint="eastAsia"/>
          <w:color w:val="000000" w:themeColor="text1"/>
          <w14:textFill>
            <w14:solidFill>
              <w14:schemeClr w14:val="tx1"/>
            </w14:solidFill>
          </w14:textFill>
        </w:rPr>
        <w:t>满</w:t>
      </w:r>
      <w:r>
        <w:rPr>
          <w:color w:val="000000" w:themeColor="text1"/>
          <w14:textFill>
            <w14:solidFill>
              <w14:schemeClr w14:val="tx1"/>
            </w14:solidFill>
          </w14:textFill>
        </w:rPr>
        <w:t>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体上来看，用人</w:t>
      </w:r>
      <w:r>
        <w:rPr>
          <w:rFonts w:hint="eastAsia"/>
          <w:color w:val="000000" w:themeColor="text1"/>
          <w14:textFill>
            <w14:solidFill>
              <w14:schemeClr w14:val="tx1"/>
            </w14:solidFill>
          </w14:textFill>
        </w:rPr>
        <w:t>单</w:t>
      </w:r>
      <w:r>
        <w:rPr>
          <w:color w:val="000000" w:themeColor="text1"/>
          <w14:textFill>
            <w14:solidFill>
              <w14:schemeClr w14:val="tx1"/>
            </w14:solidFill>
          </w14:textFill>
        </w:rPr>
        <w:t>位</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学院</w:t>
      </w:r>
      <w:r>
        <w:rPr>
          <w:rFonts w:hint="eastAsia"/>
          <w:color w:val="000000" w:themeColor="text1"/>
          <w14:textFill>
            <w14:solidFill>
              <w14:schemeClr w14:val="tx1"/>
            </w14:solidFill>
          </w14:textFill>
        </w:rPr>
        <w:t>毕业</w:t>
      </w:r>
      <w:r>
        <w:rPr>
          <w:color w:val="000000" w:themeColor="text1"/>
          <w14:textFill>
            <w14:solidFill>
              <w14:schemeClr w14:val="tx1"/>
            </w14:solidFill>
          </w14:textFill>
        </w:rPr>
        <w:t>生的能力</w:t>
      </w:r>
      <w:r>
        <w:rPr>
          <w:rFonts w:hint="eastAsia"/>
          <w:color w:val="000000" w:themeColor="text1"/>
          <w14:textFill>
            <w14:solidFill>
              <w14:schemeClr w14:val="tx1"/>
            </w14:solidFill>
          </w14:textFill>
        </w:rPr>
        <w:t>评</w:t>
      </w:r>
      <w:r>
        <w:rPr>
          <w:color w:val="000000" w:themeColor="text1"/>
          <w14:textFill>
            <w14:solidFill>
              <w14:schemeClr w14:val="tx1"/>
            </w14:solidFill>
          </w14:textFill>
        </w:rPr>
        <w:t>价</w:t>
      </w:r>
      <w:r>
        <w:rPr>
          <w:rFonts w:hint="eastAsia"/>
          <w:color w:val="000000" w:themeColor="text1"/>
          <w14:textFill>
            <w14:solidFill>
              <w14:schemeClr w14:val="tx1"/>
            </w14:solidFill>
          </w14:textFill>
        </w:rPr>
        <w:t>很</w:t>
      </w:r>
      <w:r>
        <w:rPr>
          <w:color w:val="000000" w:themeColor="text1"/>
          <w14:textFill>
            <w14:solidFill>
              <w14:schemeClr w14:val="tx1"/>
            </w14:solidFill>
          </w14:textFill>
        </w:rPr>
        <w:t>高</w:t>
      </w:r>
      <w:r>
        <w:rPr>
          <w:rFonts w:hint="eastAsia"/>
          <w:color w:val="000000" w:themeColor="text1"/>
          <w14:textFill>
            <w14:solidFill>
              <w14:schemeClr w14:val="tx1"/>
            </w14:solidFill>
          </w14:textFill>
        </w:rPr>
        <w:t>。从平均得分来看，得分最高的是学习能力和专业技术能力，分别得分为4.</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分和4</w:t>
      </w:r>
      <w:r>
        <w:rPr>
          <w:color w:val="000000" w:themeColor="text1"/>
          <w14:textFill>
            <w14:solidFill>
              <w14:schemeClr w14:val="tx1"/>
            </w14:solidFill>
          </w14:textFill>
        </w:rPr>
        <w:t>.43</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具体情况如下</w:t>
      </w:r>
      <w:r>
        <w:rPr>
          <w:rFonts w:hint="eastAsia"/>
          <w:color w:val="000000" w:themeColor="text1"/>
          <w14:textFill>
            <w14:solidFill>
              <w14:schemeClr w14:val="tx1"/>
            </w14:solidFill>
          </w14:textFill>
        </w:rPr>
        <w:t>：</w:t>
      </w:r>
    </w:p>
    <w:p>
      <w:pPr>
        <w:pStyle w:val="6"/>
        <w:keepNext/>
        <w:jc w:val="center"/>
      </w:pPr>
      <w:r>
        <w:rPr>
          <w:rFonts w:hint="eastAsia"/>
        </w:rPr>
        <w:t>表6-</w:t>
      </w:r>
      <w:r>
        <w:fldChar w:fldCharType="begin"/>
      </w:r>
      <w:r>
        <w:instrText xml:space="preserve"> </w:instrText>
      </w:r>
      <w:r>
        <w:rPr>
          <w:rFonts w:hint="eastAsia"/>
        </w:rPr>
        <w:instrText xml:space="preserve">SEQ 表6- \* ARABIC</w:instrText>
      </w:r>
      <w:r>
        <w:instrText xml:space="preserve"> </w:instrText>
      </w:r>
      <w:r>
        <w:fldChar w:fldCharType="separate"/>
      </w:r>
      <w:r>
        <w:t>1</w:t>
      </w:r>
      <w:r>
        <w:fldChar w:fldCharType="end"/>
      </w:r>
      <w:r>
        <w:t xml:space="preserve"> </w:t>
      </w:r>
      <w:r>
        <w:rPr>
          <w:rFonts w:hint="eastAsia"/>
        </w:rPr>
        <w:t>调查样本中的用人单位对毕业生各项能力的满意度</w:t>
      </w:r>
    </w:p>
    <w:tbl>
      <w:tblPr>
        <w:tblStyle w:val="10"/>
        <w:tblW w:w="8286" w:type="dxa"/>
        <w:jc w:val="center"/>
        <w:tblInd w:w="0" w:type="dxa"/>
        <w:tblLayout w:type="fixed"/>
        <w:tblCellMar>
          <w:top w:w="0" w:type="dxa"/>
          <w:left w:w="108" w:type="dxa"/>
          <w:bottom w:w="0" w:type="dxa"/>
          <w:right w:w="108" w:type="dxa"/>
        </w:tblCellMar>
      </w:tblPr>
      <w:tblGrid>
        <w:gridCol w:w="1381"/>
        <w:gridCol w:w="1381"/>
        <w:gridCol w:w="1381"/>
        <w:gridCol w:w="1381"/>
        <w:gridCol w:w="1381"/>
        <w:gridCol w:w="1381"/>
      </w:tblGrid>
      <w:tr>
        <w:tblPrEx>
          <w:tblLayout w:type="fixed"/>
          <w:tblCellMar>
            <w:top w:w="0" w:type="dxa"/>
            <w:left w:w="108" w:type="dxa"/>
            <w:bottom w:w="0" w:type="dxa"/>
            <w:right w:w="108" w:type="dxa"/>
          </w:tblCellMar>
        </w:tblPrEx>
        <w:trPr>
          <w:trHeight w:val="340" w:hRule="atLeast"/>
          <w:jc w:val="center"/>
        </w:trPr>
        <w:tc>
          <w:tcPr>
            <w:tcW w:w="1381" w:type="dxa"/>
            <w:tcBorders>
              <w:top w:val="single" w:color="74A1BB" w:sz="8" w:space="0"/>
              <w:left w:val="single" w:color="74A1BB" w:sz="8" w:space="0"/>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bookmarkStart w:id="66" w:name="_Toc530778551"/>
            <w:r>
              <w:rPr>
                <w:rFonts w:hint="eastAsia" w:ascii="微软雅黑" w:hAnsi="微软雅黑" w:eastAsia="微软雅黑" w:cs="宋体"/>
                <w:b/>
                <w:bCs/>
                <w:color w:val="FFFFFF"/>
                <w:sz w:val="18"/>
                <w:szCs w:val="18"/>
              </w:rPr>
              <w:t>素养与能力</w:t>
            </w:r>
          </w:p>
        </w:tc>
        <w:tc>
          <w:tcPr>
            <w:tcW w:w="1381"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非常满意</w:t>
            </w:r>
          </w:p>
        </w:tc>
        <w:tc>
          <w:tcPr>
            <w:tcW w:w="1381"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满意</w:t>
            </w:r>
          </w:p>
        </w:tc>
        <w:tc>
          <w:tcPr>
            <w:tcW w:w="1381"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比较满意</w:t>
            </w:r>
          </w:p>
        </w:tc>
        <w:tc>
          <w:tcPr>
            <w:tcW w:w="1381"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不太满意</w:t>
            </w:r>
          </w:p>
        </w:tc>
        <w:tc>
          <w:tcPr>
            <w:tcW w:w="1381"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综合得分</w:t>
            </w:r>
          </w:p>
        </w:tc>
      </w:tr>
      <w:tr>
        <w:tblPrEx>
          <w:tblLayout w:type="fixed"/>
          <w:tblCellMar>
            <w:top w:w="0" w:type="dxa"/>
            <w:left w:w="108" w:type="dxa"/>
            <w:bottom w:w="0" w:type="dxa"/>
            <w:right w:w="108" w:type="dxa"/>
          </w:tblCellMar>
        </w:tblPrEx>
        <w:trPr>
          <w:trHeight w:val="340" w:hRule="atLeast"/>
          <w:jc w:val="center"/>
        </w:trPr>
        <w:tc>
          <w:tcPr>
            <w:tcW w:w="1381"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专业技术能力</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51.02%</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42.86%</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4.08%</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2.04%</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4.43 </w:t>
            </w:r>
          </w:p>
        </w:tc>
      </w:tr>
      <w:tr>
        <w:tblPrEx>
          <w:tblLayout w:type="fixed"/>
          <w:tblCellMar>
            <w:top w:w="0" w:type="dxa"/>
            <w:left w:w="108" w:type="dxa"/>
            <w:bottom w:w="0" w:type="dxa"/>
            <w:right w:w="108" w:type="dxa"/>
          </w:tblCellMar>
        </w:tblPrEx>
        <w:trPr>
          <w:trHeight w:val="340" w:hRule="atLeast"/>
          <w:jc w:val="center"/>
        </w:trPr>
        <w:tc>
          <w:tcPr>
            <w:tcW w:w="1381"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逻辑分析能力</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44.90%</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40.82%</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12.24%</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2.04%</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4.29 </w:t>
            </w:r>
          </w:p>
        </w:tc>
      </w:tr>
      <w:tr>
        <w:tblPrEx>
          <w:tblLayout w:type="fixed"/>
          <w:tblCellMar>
            <w:top w:w="0" w:type="dxa"/>
            <w:left w:w="108" w:type="dxa"/>
            <w:bottom w:w="0" w:type="dxa"/>
            <w:right w:w="108" w:type="dxa"/>
          </w:tblCellMar>
        </w:tblPrEx>
        <w:trPr>
          <w:trHeight w:val="340" w:hRule="atLeast"/>
          <w:jc w:val="center"/>
        </w:trPr>
        <w:tc>
          <w:tcPr>
            <w:tcW w:w="1381"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沟通表达能力</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51.02%</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40.82%</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8.16%</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0.00%</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4.43 </w:t>
            </w:r>
          </w:p>
        </w:tc>
      </w:tr>
      <w:tr>
        <w:tblPrEx>
          <w:tblLayout w:type="fixed"/>
          <w:tblCellMar>
            <w:top w:w="0" w:type="dxa"/>
            <w:left w:w="108" w:type="dxa"/>
            <w:bottom w:w="0" w:type="dxa"/>
            <w:right w:w="108" w:type="dxa"/>
          </w:tblCellMar>
        </w:tblPrEx>
        <w:trPr>
          <w:trHeight w:val="340" w:hRule="atLeast"/>
          <w:jc w:val="center"/>
        </w:trPr>
        <w:tc>
          <w:tcPr>
            <w:tcW w:w="1381"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组织管理能力</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46.94%</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42.86%</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10.20%</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0.00%</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4.38 </w:t>
            </w:r>
          </w:p>
        </w:tc>
      </w:tr>
      <w:tr>
        <w:tblPrEx>
          <w:tblLayout w:type="fixed"/>
          <w:tblCellMar>
            <w:top w:w="0" w:type="dxa"/>
            <w:left w:w="108" w:type="dxa"/>
            <w:bottom w:w="0" w:type="dxa"/>
            <w:right w:w="108" w:type="dxa"/>
          </w:tblCellMar>
        </w:tblPrEx>
        <w:trPr>
          <w:trHeight w:val="340" w:hRule="atLeast"/>
          <w:jc w:val="center"/>
        </w:trPr>
        <w:tc>
          <w:tcPr>
            <w:tcW w:w="1381"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环境适应能力</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46.94%</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46.94%</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6.12%</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0.00%</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4.42 </w:t>
            </w:r>
          </w:p>
        </w:tc>
      </w:tr>
      <w:tr>
        <w:tblPrEx>
          <w:tblLayout w:type="fixed"/>
          <w:tblCellMar>
            <w:top w:w="0" w:type="dxa"/>
            <w:left w:w="108" w:type="dxa"/>
            <w:bottom w:w="0" w:type="dxa"/>
            <w:right w:w="108" w:type="dxa"/>
          </w:tblCellMar>
        </w:tblPrEx>
        <w:trPr>
          <w:trHeight w:val="340" w:hRule="atLeast"/>
          <w:jc w:val="center"/>
        </w:trPr>
        <w:tc>
          <w:tcPr>
            <w:tcW w:w="1381"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学习能力</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53.06%</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42.86%</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4.08%</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0.00%</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4.50 </w:t>
            </w:r>
          </w:p>
        </w:tc>
      </w:tr>
      <w:tr>
        <w:tblPrEx>
          <w:tblLayout w:type="fixed"/>
          <w:tblCellMar>
            <w:top w:w="0" w:type="dxa"/>
            <w:left w:w="108" w:type="dxa"/>
            <w:bottom w:w="0" w:type="dxa"/>
            <w:right w:w="108" w:type="dxa"/>
          </w:tblCellMar>
        </w:tblPrEx>
        <w:trPr>
          <w:trHeight w:val="340" w:hRule="atLeast"/>
          <w:jc w:val="center"/>
        </w:trPr>
        <w:tc>
          <w:tcPr>
            <w:tcW w:w="1381"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执行力</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48.98%</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38.78%</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12.24%</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0.00%</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4.37 </w:t>
            </w:r>
          </w:p>
        </w:tc>
      </w:tr>
      <w:tr>
        <w:tblPrEx>
          <w:tblLayout w:type="fixed"/>
          <w:tblCellMar>
            <w:top w:w="0" w:type="dxa"/>
            <w:left w:w="108" w:type="dxa"/>
            <w:bottom w:w="0" w:type="dxa"/>
            <w:right w:w="108" w:type="dxa"/>
          </w:tblCellMar>
        </w:tblPrEx>
        <w:trPr>
          <w:trHeight w:val="340" w:hRule="atLeast"/>
          <w:jc w:val="center"/>
        </w:trPr>
        <w:tc>
          <w:tcPr>
            <w:tcW w:w="1381"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创新发展能力</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46.94%</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44.90%</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6.12%</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2.04%</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4.37 </w:t>
            </w:r>
          </w:p>
        </w:tc>
      </w:tr>
      <w:tr>
        <w:tblPrEx>
          <w:tblLayout w:type="fixed"/>
          <w:tblCellMar>
            <w:top w:w="0" w:type="dxa"/>
            <w:left w:w="108" w:type="dxa"/>
            <w:bottom w:w="0" w:type="dxa"/>
            <w:right w:w="108" w:type="dxa"/>
          </w:tblCellMar>
        </w:tblPrEx>
        <w:trPr>
          <w:trHeight w:val="340" w:hRule="atLeast"/>
          <w:jc w:val="center"/>
        </w:trPr>
        <w:tc>
          <w:tcPr>
            <w:tcW w:w="1381"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团队合作能力</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51.70%</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40.33%</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7.74%</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0.00%</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4.43 </w:t>
            </w:r>
          </w:p>
        </w:tc>
      </w:tr>
      <w:tr>
        <w:tblPrEx>
          <w:tblLayout w:type="fixed"/>
          <w:tblCellMar>
            <w:top w:w="0" w:type="dxa"/>
            <w:left w:w="108" w:type="dxa"/>
            <w:bottom w:w="0" w:type="dxa"/>
            <w:right w:w="108" w:type="dxa"/>
          </w:tblCellMar>
        </w:tblPrEx>
        <w:trPr>
          <w:trHeight w:val="300" w:hRule="atLeast"/>
          <w:jc w:val="center"/>
        </w:trPr>
        <w:tc>
          <w:tcPr>
            <w:tcW w:w="1381"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人际交往能力</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53.06%</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34.69%</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10.20%</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2.04%</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4.39 </w:t>
            </w:r>
          </w:p>
        </w:tc>
      </w:tr>
      <w:tr>
        <w:tblPrEx>
          <w:tblLayout w:type="fixed"/>
          <w:tblCellMar>
            <w:top w:w="0" w:type="dxa"/>
            <w:left w:w="108" w:type="dxa"/>
            <w:bottom w:w="0" w:type="dxa"/>
            <w:right w:w="108" w:type="dxa"/>
          </w:tblCellMar>
        </w:tblPrEx>
        <w:trPr>
          <w:trHeight w:val="300" w:hRule="atLeast"/>
          <w:jc w:val="center"/>
        </w:trPr>
        <w:tc>
          <w:tcPr>
            <w:tcW w:w="1381"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抗压能力</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42.86%</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46.94%</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8.16%</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2.04%</w:t>
            </w:r>
          </w:p>
        </w:tc>
        <w:tc>
          <w:tcPr>
            <w:tcW w:w="1381"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4.31 </w:t>
            </w:r>
          </w:p>
        </w:tc>
      </w:tr>
      <w:tr>
        <w:tblPrEx>
          <w:tblLayout w:type="fixed"/>
          <w:tblCellMar>
            <w:top w:w="0" w:type="dxa"/>
            <w:left w:w="108" w:type="dxa"/>
            <w:bottom w:w="0" w:type="dxa"/>
            <w:right w:w="108" w:type="dxa"/>
          </w:tblCellMar>
        </w:tblPrEx>
        <w:trPr>
          <w:trHeight w:val="340" w:hRule="atLeast"/>
          <w:jc w:val="center"/>
        </w:trPr>
        <w:tc>
          <w:tcPr>
            <w:tcW w:w="1381"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领导力</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44.90%</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44.90%</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10.20%</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0.00%</w:t>
            </w:r>
          </w:p>
        </w:tc>
        <w:tc>
          <w:tcPr>
            <w:tcW w:w="1381"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4.36 </w:t>
            </w:r>
          </w:p>
        </w:tc>
      </w:tr>
    </w:tbl>
    <w:p>
      <w:pPr>
        <w:pStyle w:val="3"/>
      </w:pPr>
      <w:bookmarkStart w:id="67" w:name="_Toc534985197"/>
      <w:r>
        <w:rPr>
          <w:rFonts w:hint="eastAsia"/>
        </w:rPr>
        <w:t>四、用人</w:t>
      </w:r>
      <w:r>
        <w:rPr>
          <w:rFonts w:cs="宋体"/>
        </w:rPr>
        <w:t>单</w:t>
      </w:r>
      <w:r>
        <w:rPr>
          <w:rFonts w:hint="eastAsia"/>
        </w:rPr>
        <w:t>位</w:t>
      </w:r>
      <w:r>
        <w:rPr>
          <w:rFonts w:cs="宋体"/>
        </w:rPr>
        <w:t>教育教学评</w:t>
      </w:r>
      <w:r>
        <w:rPr>
          <w:rFonts w:hint="eastAsia"/>
        </w:rPr>
        <w:t>价</w:t>
      </w:r>
      <w:bookmarkEnd w:id="66"/>
      <w:bookmarkEnd w:id="67"/>
    </w:p>
    <w:p>
      <w:pPr>
        <w:pStyle w:val="4"/>
      </w:pPr>
      <w:bookmarkStart w:id="68" w:name="_Toc534985198"/>
      <w:bookmarkStart w:id="69" w:name="_Toc530778552"/>
      <w:r>
        <w:rPr>
          <w:rFonts w:hint="eastAsia"/>
        </w:rPr>
        <w:t>（一）人才培养满意度</w:t>
      </w:r>
      <w:bookmarkEnd w:id="68"/>
      <w:bookmarkEnd w:id="69"/>
    </w:p>
    <w:p>
      <w:pPr>
        <w:ind w:firstLine="480" w:firstLineChars="200"/>
      </w:pPr>
      <w:r>
        <w:rPr>
          <w:rFonts w:hint="eastAsia"/>
        </w:rPr>
        <w:t>调查样本中的</w:t>
      </w:r>
      <w:r>
        <w:t>用人单位对学院人才培养工作的满意度</w:t>
      </w:r>
      <w:r>
        <w:rPr>
          <w:rFonts w:hint="eastAsia"/>
        </w:rPr>
        <w:t>显示，</w:t>
      </w:r>
      <w:r>
        <w:t>用人</w:t>
      </w:r>
      <w:r>
        <w:rPr>
          <w:rFonts w:hint="eastAsia"/>
        </w:rPr>
        <w:t>单</w:t>
      </w:r>
      <w:r>
        <w:t>位</w:t>
      </w:r>
      <w:r>
        <w:rPr>
          <w:rFonts w:hint="eastAsia"/>
        </w:rPr>
        <w:t>对</w:t>
      </w:r>
      <w:r>
        <w:t>学院人才培养工作</w:t>
      </w:r>
      <w:r>
        <w:rPr>
          <w:rFonts w:hint="eastAsia"/>
        </w:rPr>
        <w:t>满</w:t>
      </w:r>
      <w:r>
        <w:t>意度</w:t>
      </w:r>
      <w:r>
        <w:rPr>
          <w:rFonts w:hint="eastAsia"/>
        </w:rPr>
        <w:t>为100</w:t>
      </w:r>
      <w:r>
        <w:t>%。由此可知，</w:t>
      </w:r>
      <w:r>
        <w:rPr>
          <w:rFonts w:hint="eastAsia"/>
        </w:rPr>
        <w:t>用人单位对</w:t>
      </w:r>
      <w:r>
        <w:t>学院的人才培养工作</w:t>
      </w:r>
      <w:r>
        <w:rPr>
          <w:rFonts w:hint="eastAsia"/>
        </w:rPr>
        <w:t>总</w:t>
      </w:r>
      <w:r>
        <w:t>体</w:t>
      </w:r>
      <w:r>
        <w:rPr>
          <w:rFonts w:hint="eastAsia"/>
        </w:rPr>
        <w:t>满</w:t>
      </w:r>
      <w:r>
        <w:t>意度很高。</w:t>
      </w:r>
    </w:p>
    <w:p>
      <w:pPr>
        <w:keepNext/>
        <w:jc w:val="center"/>
      </w:pPr>
      <w:r>
        <w:drawing>
          <wp:inline distT="0" distB="0" distL="0" distR="0">
            <wp:extent cx="3838575" cy="2228850"/>
            <wp:effectExtent l="0" t="0" r="9525" b="0"/>
            <wp:docPr id="122" name="图表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6"/>
        <w:jc w:val="center"/>
      </w:pPr>
      <w:r>
        <w:rPr>
          <w:rFonts w:hint="eastAsia"/>
        </w:rPr>
        <w:t>图6-</w:t>
      </w:r>
      <w:r>
        <w:fldChar w:fldCharType="begin"/>
      </w:r>
      <w:r>
        <w:instrText xml:space="preserve"> </w:instrText>
      </w:r>
      <w:r>
        <w:rPr>
          <w:rFonts w:hint="eastAsia"/>
        </w:rPr>
        <w:instrText xml:space="preserve">SEQ 图6- \* ARABIC</w:instrText>
      </w:r>
      <w:r>
        <w:instrText xml:space="preserve"> </w:instrText>
      </w:r>
      <w:r>
        <w:fldChar w:fldCharType="separate"/>
      </w:r>
      <w:r>
        <w:t>9</w:t>
      </w:r>
      <w:r>
        <w:fldChar w:fldCharType="end"/>
      </w:r>
      <w:r>
        <w:t xml:space="preserve"> </w:t>
      </w:r>
      <w:r>
        <w:rPr>
          <w:rFonts w:hint="eastAsia"/>
        </w:rPr>
        <w:t>调查样本中的用人单位对学院人才培养工作的满意度</w:t>
      </w:r>
    </w:p>
    <w:p>
      <w:pPr>
        <w:pStyle w:val="4"/>
      </w:pPr>
      <w:bookmarkStart w:id="70" w:name="_Toc530778553"/>
      <w:bookmarkStart w:id="71" w:name="_Toc534985199"/>
      <w:r>
        <w:rPr>
          <w:rFonts w:hint="eastAsia"/>
        </w:rPr>
        <w:t>（二）就业服务满意度</w:t>
      </w:r>
      <w:bookmarkEnd w:id="70"/>
      <w:bookmarkEnd w:id="71"/>
    </w:p>
    <w:p>
      <w:pPr>
        <w:ind w:firstLine="480" w:firstLineChars="200"/>
      </w:pPr>
      <w:r>
        <w:rPr>
          <w:rFonts w:hint="eastAsia"/>
        </w:rPr>
        <w:t>调查样本中的</w:t>
      </w:r>
      <w:r>
        <w:t>用人单位对学院</w:t>
      </w:r>
      <w:r>
        <w:rPr>
          <w:rFonts w:hint="eastAsia"/>
        </w:rPr>
        <w:t>就业服务工作</w:t>
      </w:r>
      <w:r>
        <w:t>的满意度</w:t>
      </w:r>
      <w:r>
        <w:rPr>
          <w:rFonts w:hint="eastAsia"/>
        </w:rPr>
        <w:t>显示，</w:t>
      </w:r>
      <w:r>
        <w:t>用人</w:t>
      </w:r>
      <w:r>
        <w:rPr>
          <w:rFonts w:hint="eastAsia"/>
        </w:rPr>
        <w:t>单</w:t>
      </w:r>
      <w:r>
        <w:t>位</w:t>
      </w:r>
      <w:r>
        <w:rPr>
          <w:rFonts w:hint="eastAsia"/>
        </w:rPr>
        <w:t>对</w:t>
      </w:r>
      <w:r>
        <w:t>学院</w:t>
      </w:r>
      <w:r>
        <w:rPr>
          <w:rFonts w:hint="eastAsia"/>
        </w:rPr>
        <w:t>就业网站建设的综合得分为4.20分，其中非常满意占比40.82</w:t>
      </w:r>
      <w:r>
        <w:t>%</w:t>
      </w:r>
      <w:r>
        <w:rPr>
          <w:rFonts w:hint="eastAsia"/>
        </w:rPr>
        <w:t>；</w:t>
      </w:r>
      <w:r>
        <w:t>用人</w:t>
      </w:r>
      <w:r>
        <w:rPr>
          <w:rFonts w:hint="eastAsia"/>
        </w:rPr>
        <w:t>单</w:t>
      </w:r>
      <w:r>
        <w:t>位</w:t>
      </w:r>
      <w:r>
        <w:rPr>
          <w:rFonts w:hint="eastAsia"/>
        </w:rPr>
        <w:t>对</w:t>
      </w:r>
      <w:r>
        <w:t>学院</w:t>
      </w:r>
      <w:r>
        <w:rPr>
          <w:rFonts w:hint="eastAsia"/>
        </w:rPr>
        <w:t>组织毕业生参会的综合得分为4.14分，其中非常满意占比36.73</w:t>
      </w:r>
      <w:r>
        <w:t>%</w:t>
      </w:r>
      <w:r>
        <w:rPr>
          <w:rFonts w:hint="eastAsia"/>
        </w:rPr>
        <w:t>。</w:t>
      </w:r>
    </w:p>
    <w:p>
      <w:pPr>
        <w:pStyle w:val="6"/>
        <w:jc w:val="center"/>
      </w:pPr>
      <w:r>
        <w:rPr>
          <w:rFonts w:hint="eastAsia"/>
        </w:rPr>
        <w:t>表6-</w:t>
      </w:r>
      <w:r>
        <w:fldChar w:fldCharType="begin"/>
      </w:r>
      <w:r>
        <w:instrText xml:space="preserve"> </w:instrText>
      </w:r>
      <w:r>
        <w:rPr>
          <w:rFonts w:hint="eastAsia"/>
        </w:rPr>
        <w:instrText xml:space="preserve">SEQ 表6- \* ARABIC</w:instrText>
      </w:r>
      <w:r>
        <w:instrText xml:space="preserve"> </w:instrText>
      </w:r>
      <w:r>
        <w:fldChar w:fldCharType="separate"/>
      </w:r>
      <w:r>
        <w:t>2</w:t>
      </w:r>
      <w:r>
        <w:fldChar w:fldCharType="end"/>
      </w:r>
      <w:r>
        <w:t xml:space="preserve"> </w:t>
      </w:r>
      <w:r>
        <w:rPr>
          <w:rFonts w:hint="eastAsia"/>
        </w:rPr>
        <w:t>调查样本中的用人单位对学院就业服务工作的满意度</w:t>
      </w:r>
    </w:p>
    <w:tbl>
      <w:tblPr>
        <w:tblStyle w:val="10"/>
        <w:tblW w:w="8286" w:type="dxa"/>
        <w:jc w:val="center"/>
        <w:tblInd w:w="0" w:type="dxa"/>
        <w:tblLayout w:type="fixed"/>
        <w:tblCellMar>
          <w:top w:w="0" w:type="dxa"/>
          <w:left w:w="108" w:type="dxa"/>
          <w:bottom w:w="0" w:type="dxa"/>
          <w:right w:w="108" w:type="dxa"/>
        </w:tblCellMar>
      </w:tblPr>
      <w:tblGrid>
        <w:gridCol w:w="2320"/>
        <w:gridCol w:w="1193"/>
        <w:gridCol w:w="1238"/>
        <w:gridCol w:w="1193"/>
        <w:gridCol w:w="1172"/>
        <w:gridCol w:w="1170"/>
      </w:tblGrid>
      <w:tr>
        <w:tblPrEx>
          <w:tblLayout w:type="fixed"/>
          <w:tblCellMar>
            <w:top w:w="0" w:type="dxa"/>
            <w:left w:w="108" w:type="dxa"/>
            <w:bottom w:w="0" w:type="dxa"/>
            <w:right w:w="108" w:type="dxa"/>
          </w:tblCellMar>
        </w:tblPrEx>
        <w:trPr>
          <w:trHeight w:val="300" w:hRule="atLeast"/>
          <w:jc w:val="center"/>
        </w:trPr>
        <w:tc>
          <w:tcPr>
            <w:tcW w:w="2320" w:type="dxa"/>
            <w:tcBorders>
              <w:top w:val="single" w:color="74A1BB" w:sz="8" w:space="0"/>
              <w:left w:val="single" w:color="74A1BB" w:sz="8" w:space="0"/>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bookmarkStart w:id="72" w:name="_Toc530778554"/>
            <w:r>
              <w:rPr>
                <w:rFonts w:hint="eastAsia" w:ascii="微软雅黑" w:hAnsi="微软雅黑" w:eastAsia="微软雅黑" w:cs="宋体"/>
                <w:b/>
                <w:bCs/>
                <w:color w:val="FFFFFF"/>
                <w:sz w:val="18"/>
                <w:szCs w:val="18"/>
              </w:rPr>
              <w:t>就业服务</w:t>
            </w:r>
          </w:p>
        </w:tc>
        <w:tc>
          <w:tcPr>
            <w:tcW w:w="1193"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非常满意</w:t>
            </w:r>
          </w:p>
        </w:tc>
        <w:tc>
          <w:tcPr>
            <w:tcW w:w="1238"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满意</w:t>
            </w:r>
          </w:p>
        </w:tc>
        <w:tc>
          <w:tcPr>
            <w:tcW w:w="1193"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比较满意</w:t>
            </w:r>
          </w:p>
        </w:tc>
        <w:tc>
          <w:tcPr>
            <w:tcW w:w="1172"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不太满意</w:t>
            </w:r>
          </w:p>
        </w:tc>
        <w:tc>
          <w:tcPr>
            <w:tcW w:w="1170" w:type="dxa"/>
            <w:tcBorders>
              <w:top w:val="single" w:color="74A1BB" w:sz="8" w:space="0"/>
              <w:left w:val="nil"/>
              <w:bottom w:val="single" w:color="74A1BB" w:sz="8" w:space="0"/>
              <w:right w:val="single" w:color="74A1BB" w:sz="8" w:space="0"/>
            </w:tcBorders>
            <w:shd w:val="clear" w:color="000000" w:fill="007686"/>
            <w:vAlign w:val="center"/>
          </w:tcPr>
          <w:p>
            <w:pPr>
              <w:spacing w:after="0" w:line="240" w:lineRule="auto"/>
              <w:jc w:val="center"/>
              <w:rPr>
                <w:rFonts w:ascii="微软雅黑" w:hAnsi="微软雅黑" w:eastAsia="微软雅黑" w:cs="宋体"/>
                <w:b/>
                <w:bCs/>
                <w:color w:val="FFFFFF"/>
                <w:sz w:val="18"/>
                <w:szCs w:val="18"/>
              </w:rPr>
            </w:pPr>
            <w:r>
              <w:rPr>
                <w:rFonts w:hint="eastAsia" w:ascii="微软雅黑" w:hAnsi="微软雅黑" w:eastAsia="微软雅黑" w:cs="宋体"/>
                <w:b/>
                <w:bCs/>
                <w:color w:val="FFFFFF"/>
                <w:sz w:val="18"/>
                <w:szCs w:val="18"/>
              </w:rPr>
              <w:t>综合得分</w:t>
            </w:r>
          </w:p>
        </w:tc>
      </w:tr>
      <w:tr>
        <w:tblPrEx>
          <w:tblLayout w:type="fixed"/>
          <w:tblCellMar>
            <w:top w:w="0" w:type="dxa"/>
            <w:left w:w="108" w:type="dxa"/>
            <w:bottom w:w="0" w:type="dxa"/>
            <w:right w:w="108" w:type="dxa"/>
          </w:tblCellMar>
        </w:tblPrEx>
        <w:trPr>
          <w:trHeight w:val="300" w:hRule="atLeast"/>
          <w:jc w:val="center"/>
        </w:trPr>
        <w:tc>
          <w:tcPr>
            <w:tcW w:w="2320" w:type="dxa"/>
            <w:tcBorders>
              <w:top w:val="nil"/>
              <w:left w:val="single" w:color="74A1BB" w:sz="8" w:space="0"/>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就业网站建设及信息服务</w:t>
            </w:r>
          </w:p>
        </w:tc>
        <w:tc>
          <w:tcPr>
            <w:tcW w:w="1193"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40.82%</w:t>
            </w:r>
          </w:p>
        </w:tc>
        <w:tc>
          <w:tcPr>
            <w:tcW w:w="1238"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40.82%</w:t>
            </w:r>
          </w:p>
        </w:tc>
        <w:tc>
          <w:tcPr>
            <w:tcW w:w="1193"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16.33%</w:t>
            </w:r>
          </w:p>
        </w:tc>
        <w:tc>
          <w:tcPr>
            <w:tcW w:w="1172"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2.04%</w:t>
            </w:r>
          </w:p>
        </w:tc>
        <w:tc>
          <w:tcPr>
            <w:tcW w:w="1170" w:type="dxa"/>
            <w:tcBorders>
              <w:top w:val="nil"/>
              <w:left w:val="nil"/>
              <w:bottom w:val="single" w:color="74A1BB" w:sz="8" w:space="0"/>
              <w:right w:val="single" w:color="74A1BB" w:sz="8" w:space="0"/>
            </w:tcBorders>
            <w:shd w:val="clear" w:color="auto" w:fill="auto"/>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4.20 </w:t>
            </w:r>
          </w:p>
        </w:tc>
      </w:tr>
      <w:tr>
        <w:tblPrEx>
          <w:tblLayout w:type="fixed"/>
          <w:tblCellMar>
            <w:top w:w="0" w:type="dxa"/>
            <w:left w:w="108" w:type="dxa"/>
            <w:bottom w:w="0" w:type="dxa"/>
            <w:right w:w="108" w:type="dxa"/>
          </w:tblCellMar>
        </w:tblPrEx>
        <w:trPr>
          <w:trHeight w:val="300" w:hRule="atLeast"/>
          <w:jc w:val="center"/>
        </w:trPr>
        <w:tc>
          <w:tcPr>
            <w:tcW w:w="2320" w:type="dxa"/>
            <w:tcBorders>
              <w:top w:val="nil"/>
              <w:left w:val="single" w:color="74A1BB" w:sz="8" w:space="0"/>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组织毕业生参会</w:t>
            </w:r>
          </w:p>
        </w:tc>
        <w:tc>
          <w:tcPr>
            <w:tcW w:w="1193"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36.73%</w:t>
            </w:r>
          </w:p>
        </w:tc>
        <w:tc>
          <w:tcPr>
            <w:tcW w:w="1238"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42.86%</w:t>
            </w:r>
          </w:p>
        </w:tc>
        <w:tc>
          <w:tcPr>
            <w:tcW w:w="1193"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18.37%</w:t>
            </w:r>
          </w:p>
        </w:tc>
        <w:tc>
          <w:tcPr>
            <w:tcW w:w="1172"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2.04%</w:t>
            </w:r>
          </w:p>
        </w:tc>
        <w:tc>
          <w:tcPr>
            <w:tcW w:w="1170" w:type="dxa"/>
            <w:tcBorders>
              <w:top w:val="nil"/>
              <w:left w:val="nil"/>
              <w:bottom w:val="single" w:color="74A1BB" w:sz="8" w:space="0"/>
              <w:right w:val="single" w:color="74A1BB" w:sz="8" w:space="0"/>
            </w:tcBorders>
            <w:shd w:val="clear" w:color="000000" w:fill="96C7CB"/>
            <w:vAlign w:val="center"/>
          </w:tcPr>
          <w:p>
            <w:pPr>
              <w:spacing w:after="0" w:line="240" w:lineRule="auto"/>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4.14 </w:t>
            </w:r>
          </w:p>
        </w:tc>
      </w:tr>
    </w:tbl>
    <w:p>
      <w:pPr>
        <w:pStyle w:val="4"/>
      </w:pPr>
      <w:bookmarkStart w:id="73" w:name="_Toc534985200"/>
      <w:r>
        <w:rPr>
          <w:rFonts w:hint="eastAsia"/>
        </w:rPr>
        <w:t>（三）就业服务改进建议</w:t>
      </w:r>
      <w:bookmarkEnd w:id="72"/>
      <w:bookmarkEnd w:id="73"/>
    </w:p>
    <w:p>
      <w:pPr>
        <w:ind w:firstLine="480" w:firstLineChars="200"/>
      </w:pPr>
      <w:r>
        <w:rPr>
          <w:rFonts w:hint="eastAsia"/>
        </w:rPr>
        <w:t>调查样本中的</w:t>
      </w:r>
      <w:r>
        <w:t>用人单位对学院就业服务工作的改进建议</w:t>
      </w:r>
      <w:r>
        <w:rPr>
          <w:rFonts w:hint="eastAsia"/>
        </w:rPr>
        <w:t>显示，</w:t>
      </w:r>
      <w:r>
        <w:t>用人</w:t>
      </w:r>
      <w:r>
        <w:rPr>
          <w:rFonts w:hint="eastAsia"/>
        </w:rPr>
        <w:t>单</w:t>
      </w:r>
      <w:r>
        <w:t>位普遍</w:t>
      </w:r>
      <w:r>
        <w:rPr>
          <w:rFonts w:hint="eastAsia"/>
        </w:rPr>
        <w:t>认为</w:t>
      </w:r>
      <w:r>
        <w:t>学院</w:t>
      </w:r>
      <w:r>
        <w:rPr>
          <w:rFonts w:hint="eastAsia"/>
        </w:rPr>
        <w:t>应加强校企沟通（44.90%），增加校园招聘会场次（14.29%），拓宽服务项目（8.16%），提升服务态度（6.12%）。</w:t>
      </w:r>
    </w:p>
    <w:p>
      <w:pPr>
        <w:keepNext/>
        <w:jc w:val="center"/>
      </w:pPr>
      <w:r>
        <w:drawing>
          <wp:inline distT="0" distB="0" distL="0" distR="0">
            <wp:extent cx="4991100" cy="2509520"/>
            <wp:effectExtent l="0" t="0" r="0" b="5080"/>
            <wp:docPr id="234" name="图表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6"/>
        <w:jc w:val="center"/>
      </w:pPr>
      <w:r>
        <w:rPr>
          <w:rFonts w:hint="eastAsia"/>
        </w:rPr>
        <w:t>图6-</w:t>
      </w:r>
      <w:r>
        <w:fldChar w:fldCharType="begin"/>
      </w:r>
      <w:r>
        <w:instrText xml:space="preserve"> </w:instrText>
      </w:r>
      <w:r>
        <w:rPr>
          <w:rFonts w:hint="eastAsia"/>
        </w:rPr>
        <w:instrText xml:space="preserve">SEQ 图6- \* ARABIC</w:instrText>
      </w:r>
      <w:r>
        <w:instrText xml:space="preserve"> </w:instrText>
      </w:r>
      <w:r>
        <w:fldChar w:fldCharType="separate"/>
      </w:r>
      <w:r>
        <w:t>10</w:t>
      </w:r>
      <w:r>
        <w:fldChar w:fldCharType="end"/>
      </w:r>
      <w:r>
        <w:t xml:space="preserve"> </w:t>
      </w:r>
      <w:r>
        <w:rPr>
          <w:rFonts w:hint="eastAsia"/>
        </w:rPr>
        <w:t>调查样本中的用人单位对学院就业服务工作的改进建议</w:t>
      </w:r>
    </w:p>
    <w:p/>
    <w:p/>
    <w:p>
      <w:pPr>
        <w:ind w:firstLine="480" w:firstLineChars="200"/>
        <w:rPr>
          <w:rFonts w:asciiTheme="minorEastAsia" w:hAnsiTheme="minorEastAsia"/>
        </w:rPr>
        <w:sectPr>
          <w:pgSz w:w="11906" w:h="16838"/>
          <w:pgMar w:top="1440" w:right="1800" w:bottom="1440" w:left="1800" w:header="851" w:footer="992" w:gutter="0"/>
          <w:cols w:space="425" w:num="1"/>
          <w:docGrid w:type="lines" w:linePitch="312" w:charSpace="0"/>
        </w:sectPr>
      </w:pPr>
    </w:p>
    <w:p>
      <w:pPr>
        <w:pStyle w:val="2"/>
        <w:rPr>
          <w:rFonts w:ascii="宋体" w:hAnsi="宋体" w:cs="宋体"/>
        </w:rPr>
      </w:pPr>
      <w:bookmarkStart w:id="74" w:name="_Toc531727301"/>
      <w:bookmarkStart w:id="75" w:name="_Toc534985201"/>
      <w:bookmarkStart w:id="76" w:name="_Hlk531875098"/>
      <w:r>
        <w:rPr>
          <w:rFonts w:hint="eastAsia" w:ascii="宋体" w:hAnsi="宋体" w:cs="宋体"/>
        </w:rPr>
        <w:t>第七部分</w:t>
      </w:r>
      <w:r>
        <w:t xml:space="preserve">  </w:t>
      </w:r>
      <w:bookmarkEnd w:id="74"/>
      <w:r>
        <w:rPr>
          <w:rFonts w:hint="eastAsia"/>
        </w:rPr>
        <w:t>总结与反馈</w:t>
      </w:r>
      <w:bookmarkEnd w:id="75"/>
    </w:p>
    <w:p>
      <w:pPr>
        <w:ind w:firstLine="480" w:firstLineChars="200"/>
      </w:pPr>
      <w:r>
        <w:rPr>
          <w:rFonts w:hint="eastAsia" w:asciiTheme="minorEastAsia" w:hAnsiTheme="minorEastAsia" w:cstheme="minorEastAsia"/>
          <w:bCs/>
        </w:rPr>
        <w:t>学院</w:t>
      </w:r>
      <w:r>
        <w:rPr>
          <w:rFonts w:hint="eastAsia"/>
        </w:rPr>
        <w:t>坚持以服务为宗旨，根据社会急需、校企共建、精准培育等工作原则，不断提升就业创业质量。2018年学院就业形势持续向好，就业质量明显提升。从近三届毕业生（2</w:t>
      </w:r>
      <w:r>
        <w:t>016</w:t>
      </w:r>
      <w:r>
        <w:rPr>
          <w:rFonts w:hint="eastAsia"/>
        </w:rPr>
        <w:t>-</w:t>
      </w:r>
      <w:r>
        <w:t>2018</w:t>
      </w:r>
      <w:r>
        <w:rPr>
          <w:rFonts w:hint="eastAsia"/>
        </w:rPr>
        <w:t>）的就业趋势来看，</w:t>
      </w:r>
      <w:r>
        <w:t>2018</w:t>
      </w:r>
      <w:r>
        <w:rPr>
          <w:rFonts w:hint="eastAsia"/>
        </w:rPr>
        <w:t>届毕业生就业各项指标良好，就业质量稳中有升。2</w:t>
      </w:r>
      <w:r>
        <w:t>01</w:t>
      </w:r>
      <w:r>
        <w:rPr>
          <w:rFonts w:hint="eastAsia"/>
        </w:rPr>
        <w:t>8届毕业生就业满意度为96.84</w:t>
      </w:r>
      <w:r>
        <w:t>%</w:t>
      </w:r>
      <w:r>
        <w:rPr>
          <w:rFonts w:hint="eastAsia"/>
          <w:color w:val="000000" w:themeColor="text1"/>
          <w14:textFill>
            <w14:solidFill>
              <w14:schemeClr w14:val="tx1"/>
            </w14:solidFill>
          </w14:textFill>
        </w:rPr>
        <w:t>，总体</w:t>
      </w:r>
      <w:r>
        <w:rPr>
          <w:rFonts w:hint="eastAsia"/>
        </w:rPr>
        <w:t>就业率为88.85</w:t>
      </w:r>
      <w:r>
        <w:t>%</w:t>
      </w:r>
      <w:r>
        <w:rPr>
          <w:rFonts w:hint="eastAsia"/>
        </w:rPr>
        <w:t>。学院将继续秉承</w:t>
      </w:r>
      <w:r>
        <w:rPr>
          <w:rFonts w:hint="eastAsia" w:asciiTheme="minorEastAsia" w:hAnsiTheme="minorEastAsia" w:cstheme="minorEastAsia"/>
          <w:bCs/>
        </w:rPr>
        <w:t>“以学生为主体，以教师为主导，注重多样性、开放性、应用性、创新性和复合性”的教育理念，积极引导学生“高品味做人、高层次成才、高水平就业”。</w:t>
      </w:r>
    </w:p>
    <w:p>
      <w:pPr>
        <w:pStyle w:val="3"/>
        <w:spacing w:before="240" w:after="240"/>
        <w:rPr>
          <w:bCs/>
        </w:rPr>
      </w:pPr>
      <w:bookmarkStart w:id="77" w:name="_Toc534985202"/>
      <w:bookmarkStart w:id="78" w:name="_Toc531267396"/>
      <w:bookmarkStart w:id="79" w:name="_Toc499049998"/>
      <w:bookmarkStart w:id="80" w:name="_Toc499129891"/>
      <w:r>
        <w:rPr>
          <w:rFonts w:hint="eastAsia"/>
          <w:bCs/>
        </w:rPr>
        <w:t>一、就业质量对教育教学的反馈</w:t>
      </w:r>
      <w:bookmarkEnd w:id="77"/>
      <w:bookmarkEnd w:id="78"/>
      <w:bookmarkEnd w:id="79"/>
      <w:bookmarkEnd w:id="80"/>
    </w:p>
    <w:p>
      <w:pPr>
        <w:ind w:firstLine="480" w:firstLineChars="200"/>
        <w:rPr>
          <w:color w:val="000000" w:themeColor="text1"/>
          <w14:textFill>
            <w14:solidFill>
              <w14:schemeClr w14:val="tx1"/>
            </w14:solidFill>
          </w14:textFill>
        </w:rPr>
      </w:pPr>
      <w:r>
        <w:rPr>
          <w:rFonts w:hint="eastAsia" w:ascii="宋体" w:hAnsi="宋体" w:cs="宋体"/>
        </w:rPr>
        <w:t>近年来，学院教育教学工作成绩突出，2018届毕业生</w:t>
      </w:r>
      <w:r>
        <w:t>用人</w:t>
      </w:r>
      <w:r>
        <w:rPr>
          <w:rFonts w:hint="eastAsia"/>
        </w:rPr>
        <w:t>单</w:t>
      </w:r>
      <w:r>
        <w:t>位</w:t>
      </w:r>
      <w:r>
        <w:rPr>
          <w:rFonts w:hint="eastAsia"/>
        </w:rPr>
        <w:t>对</w:t>
      </w:r>
      <w:r>
        <w:t>学院人才培养工作</w:t>
      </w:r>
      <w:r>
        <w:rPr>
          <w:rFonts w:hint="eastAsia"/>
        </w:rPr>
        <w:t>满</w:t>
      </w:r>
      <w:r>
        <w:t>意度</w:t>
      </w:r>
      <w:r>
        <w:rPr>
          <w:rFonts w:hint="eastAsia"/>
        </w:rPr>
        <w:t>为100</w:t>
      </w:r>
      <w:r>
        <w:t>%</w:t>
      </w:r>
      <w:r>
        <w:rPr>
          <w:rFonts w:hint="eastAsia"/>
        </w:rPr>
        <w:t>，毕业生</w:t>
      </w:r>
      <w:r>
        <w:rPr>
          <w:rFonts w:hint="eastAsia"/>
          <w:color w:val="000000" w:themeColor="text1"/>
          <w14:textFill>
            <w14:solidFill>
              <w14:schemeClr w14:val="tx1"/>
            </w14:solidFill>
          </w14:textFill>
        </w:rPr>
        <w:t>对人才培养满意度为92.92%，对教师授课的满意度最高为</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6.05%，对专业及课程设置的满意度为</w:t>
      </w:r>
      <w:r>
        <w:rPr>
          <w:color w:val="000000" w:themeColor="text1"/>
          <w14:textFill>
            <w14:solidFill>
              <w14:schemeClr w14:val="tx1"/>
            </w14:solidFill>
          </w14:textFill>
        </w:rPr>
        <w:t>92.</w:t>
      </w:r>
      <w:r>
        <w:rPr>
          <w:rFonts w:hint="eastAsia"/>
          <w:color w:val="000000" w:themeColor="text1"/>
          <w14:textFill>
            <w14:solidFill>
              <w14:schemeClr w14:val="tx1"/>
            </w14:solidFill>
          </w14:textFill>
        </w:rPr>
        <w:t>26%，母校推荐度为</w:t>
      </w:r>
      <w:r>
        <w:t>94.72</w:t>
      </w:r>
      <w:r>
        <w:rPr>
          <w:rFonts w:hint="eastAsia"/>
        </w:rPr>
        <w:t>%。学院以教学质量为核心，以结构调整为突破，不断优化学科及专业结构，提升毕业生所学知识与人才市场需求的粘合度。</w:t>
      </w:r>
    </w:p>
    <w:p>
      <w:pPr>
        <w:pStyle w:val="4"/>
        <w:widowControl/>
        <w:spacing w:after="80"/>
      </w:pPr>
      <w:bookmarkStart w:id="81" w:name="_Toc531267397"/>
      <w:bookmarkStart w:id="82" w:name="_Toc534985203"/>
      <w:r>
        <w:rPr>
          <w:rFonts w:hint="eastAsia"/>
        </w:rPr>
        <w:t>（一）创新实践教学，增强</w:t>
      </w:r>
      <w:bookmarkEnd w:id="81"/>
      <w:r>
        <w:rPr>
          <w:rFonts w:hint="eastAsia"/>
        </w:rPr>
        <w:t>育人实效</w:t>
      </w:r>
      <w:bookmarkEnd w:id="82"/>
    </w:p>
    <w:p>
      <w:pPr>
        <w:ind w:firstLine="480" w:firstLineChars="200"/>
        <w:rPr>
          <w:color w:val="FF0000"/>
        </w:rPr>
      </w:pPr>
      <w:r>
        <w:rPr>
          <w:rFonts w:hint="eastAsia" w:ascii="宋体" w:hAnsi="宋体" w:cs="宋体"/>
        </w:rPr>
        <w:t>数据显示，毕业生</w:t>
      </w:r>
      <w:r>
        <w:rPr>
          <w:rFonts w:hint="eastAsia"/>
        </w:rPr>
        <w:t>对</w:t>
      </w:r>
      <w:r>
        <w:rPr>
          <w:rFonts w:hint="eastAsia"/>
          <w:color w:val="000000" w:themeColor="text1"/>
          <w14:textFill>
            <w14:solidFill>
              <w14:schemeClr w14:val="tx1"/>
            </w14:solidFill>
          </w14:textFill>
        </w:rPr>
        <w:t>实践教学的满意度（89.94%）；</w:t>
      </w:r>
      <w:r>
        <w:rPr>
          <w:rFonts w:hint="eastAsia"/>
        </w:rPr>
        <w:t>在影响毕业生对母校满意度的因素中，所学知识/能力满足需求占比为</w:t>
      </w:r>
      <w:r>
        <w:t>16.62</w:t>
      </w:r>
      <w:r>
        <w:rPr>
          <w:rFonts w:hint="eastAsia"/>
        </w:rPr>
        <w:t>%；在</w:t>
      </w:r>
      <w:r>
        <w:rPr>
          <w:rFonts w:hint="eastAsia"/>
          <w:bCs/>
        </w:rPr>
        <w:t>毕业生对母校的教学改进建议中，实践教学最需要改进，占比为24.33%；毕业生对母校的课程改进建议中，本专业课程的实用性是最值得改进的课程，占比为27.99%，实践课程安排次数占比为18.11%；</w:t>
      </w:r>
      <w:r>
        <w:rPr>
          <w:color w:val="000000" w:themeColor="text1"/>
          <w14:textFill>
            <w14:solidFill>
              <w14:schemeClr w14:val="tx1"/>
            </w14:solidFill>
          </w14:textFill>
        </w:rPr>
        <w:t>24.48</w:t>
      </w:r>
      <w:r>
        <w:rPr>
          <w:rFonts w:hint="eastAsia"/>
          <w:color w:val="000000" w:themeColor="text1"/>
          <w14:textFill>
            <w14:solidFill>
              <w14:schemeClr w14:val="tx1"/>
            </w14:solidFill>
          </w14:textFill>
        </w:rPr>
        <w:t>%的毕业生认同求职困难的原因是“缺乏实践经验”。</w:t>
      </w:r>
    </w:p>
    <w:p>
      <w:pPr>
        <w:ind w:firstLine="480" w:firstLineChars="200"/>
      </w:pPr>
      <w:r>
        <w:rPr>
          <w:rFonts w:hint="eastAsia"/>
        </w:rPr>
        <w:t>实践教学是高校育人中重要而突出的一个环节，加强并创新实践教学，增强育人实效，切实提高大学生的实践能力，是当今高校实现人才培养目标的重要途径。学院可通过巩固第一课堂，加强第二课堂，拓展第三课堂，形成“三课堂”互动机制，促进学生知识、能力、素质和个性的全面发展。 一是专业技能型实践。高校应加强专业实践设计，延长专业实践时间，建立相对独立的实践教学规划。二是德育实践；三是社会实践。学院可广泛开展社会调查、社会兼职、青年志愿者活动、“三下乡”等服务型实践活动。</w:t>
      </w:r>
    </w:p>
    <w:p>
      <w:pPr>
        <w:pStyle w:val="4"/>
        <w:widowControl/>
        <w:spacing w:after="80"/>
      </w:pPr>
      <w:bookmarkStart w:id="83" w:name="_Toc534985204"/>
      <w:r>
        <w:rPr>
          <w:rFonts w:hint="eastAsia"/>
        </w:rPr>
        <w:t>（二）推行高层次成才计划，强化精准培育</w:t>
      </w:r>
      <w:bookmarkEnd w:id="83"/>
    </w:p>
    <w:p>
      <w:pPr>
        <w:ind w:left="119" w:firstLine="480" w:firstLineChars="200"/>
      </w:pPr>
      <w:r>
        <w:rPr>
          <w:rFonts w:hint="eastAsia" w:ascii="宋体" w:hAnsi="宋体" w:cs="宋体"/>
        </w:rPr>
        <w:t>数据显示，毕业生对教学的改进建议中，认为</w:t>
      </w:r>
      <w:r>
        <w:rPr>
          <w:rFonts w:hint="eastAsia"/>
          <w:bCs/>
        </w:rPr>
        <w:t>专业课内容及安排需要改进的占比为18.51%，教学方法和手段需要改进的为18.40%，考核方法与教学评价为14.07%。</w:t>
      </w:r>
      <w:r>
        <w:rPr>
          <w:rFonts w:hint="eastAsia"/>
        </w:rPr>
        <w:t>在课程设置改进建议中，认为</w:t>
      </w:r>
      <w:r>
        <w:rPr>
          <w:rFonts w:hint="eastAsia"/>
          <w:bCs/>
        </w:rPr>
        <w:t>专业课开设的先后顺序需要改进的占比为19.05%，各学期开设课程门数占比为15.48%。</w:t>
      </w:r>
      <w:r>
        <w:rPr>
          <w:rFonts w:hint="eastAsia"/>
        </w:rPr>
        <w:t>毕业生从事的工作与专业的相关度为85.86</w:t>
      </w:r>
      <w:r>
        <w:t>%</w:t>
      </w:r>
      <w:r>
        <w:rPr>
          <w:rFonts w:hint="eastAsia"/>
        </w:rPr>
        <w:t>，</w:t>
      </w:r>
      <w:r>
        <w:t>毕业生选择继续深造</w:t>
      </w:r>
      <w:r>
        <w:rPr>
          <w:rFonts w:hint="eastAsia"/>
        </w:rPr>
        <w:t>所读专业和目前所读专业一致性为</w:t>
      </w:r>
      <w:r>
        <w:t>74.08</w:t>
      </w:r>
      <w:r>
        <w:rPr>
          <w:rFonts w:hint="eastAsia"/>
        </w:rPr>
        <w:t>%。</w:t>
      </w:r>
    </w:p>
    <w:p>
      <w:pPr>
        <w:pStyle w:val="11"/>
        <w:ind w:firstLine="480"/>
      </w:pPr>
      <w:r>
        <w:rPr>
          <w:rFonts w:hint="eastAsia"/>
        </w:rPr>
        <w:t>由此可知，</w:t>
      </w:r>
      <w:r>
        <w:rPr>
          <w:rFonts w:hint="eastAsia" w:ascii="宋体" w:hAnsi="宋体" w:cs="宋体"/>
        </w:rPr>
        <w:t>专业学习是学生培养的必备环节，在学生培养中具有综合、基础性作用。</w:t>
      </w:r>
      <w:r>
        <w:rPr>
          <w:rFonts w:hint="eastAsia"/>
        </w:rPr>
        <w:t>专业设置对毕业生充分就业有直接作用。一是优化专业结构，加强专业课程建设，</w:t>
      </w:r>
      <w:r>
        <w:rPr>
          <w:rFonts w:hint="eastAsia" w:hAnsiTheme="minorEastAsia"/>
        </w:rPr>
        <w:t>紧密对接社会需求和区域经济社会发展新要求</w:t>
      </w:r>
      <w:r>
        <w:rPr>
          <w:rFonts w:hint="eastAsia"/>
        </w:rPr>
        <w:t>；二是</w:t>
      </w:r>
      <w:r>
        <w:rPr>
          <w:rFonts w:hint="eastAsia" w:ascii="Times New Roman" w:hAnsi="Times New Roman" w:cs="Times New Roman"/>
          <w:szCs w:val="24"/>
        </w:rPr>
        <w:t>积极推动通识教育和专业教育有机结合，实现学生全面发展和个性发展有机结合，明晰专业主干课程，实施项目驱动型教学方式；三是</w:t>
      </w:r>
      <w:r>
        <w:rPr>
          <w:rFonts w:hint="eastAsia"/>
        </w:rPr>
        <w:t>推广校内外双导师制，建设“双师型”人才队伍。</w:t>
      </w:r>
    </w:p>
    <w:p>
      <w:pPr>
        <w:pStyle w:val="3"/>
        <w:rPr>
          <w:bCs/>
        </w:rPr>
      </w:pPr>
      <w:bookmarkStart w:id="84" w:name="_Toc531267400"/>
      <w:bookmarkStart w:id="85" w:name="_Toc534985205"/>
      <w:r>
        <w:rPr>
          <w:rFonts w:hint="eastAsia"/>
          <w:bCs/>
        </w:rPr>
        <w:t>二、就业质量对就业服务的反馈</w:t>
      </w:r>
      <w:bookmarkEnd w:id="84"/>
      <w:bookmarkEnd w:id="85"/>
    </w:p>
    <w:p>
      <w:pPr>
        <w:ind w:firstLine="480" w:firstLineChars="200"/>
        <w:rPr>
          <w:rFonts w:ascii="宋体" w:hAnsi="宋体" w:cs="宋体"/>
        </w:rPr>
      </w:pPr>
      <w:r>
        <w:rPr>
          <w:rFonts w:hint="eastAsia"/>
        </w:rPr>
        <w:t>毕业生就业质量最直接、最充分的体现学院就业服务效果。</w:t>
      </w:r>
      <w:r>
        <w:rPr>
          <w:rFonts w:hint="eastAsia" w:ascii="宋体" w:hAnsi="宋体" w:cs="宋体"/>
        </w:rPr>
        <w:t>从三年的趋势来看，毕业生的就业总体满意度呈总体上升的趋势。</w:t>
      </w:r>
    </w:p>
    <w:p>
      <w:pPr>
        <w:pStyle w:val="4"/>
      </w:pPr>
      <w:bookmarkStart w:id="86" w:name="_Toc531267402"/>
      <w:bookmarkStart w:id="87" w:name="_Toc534985206"/>
      <w:r>
        <w:rPr>
          <w:rFonts w:hint="eastAsia"/>
        </w:rPr>
        <w:t>（一）引导树立合理就业观念，提升职业规划能力</w:t>
      </w:r>
      <w:bookmarkEnd w:id="86"/>
      <w:bookmarkEnd w:id="87"/>
    </w:p>
    <w:p>
      <w:pPr>
        <w:ind w:firstLine="480" w:firstLineChars="200"/>
      </w:pPr>
      <w:r>
        <w:rPr>
          <w:rFonts w:hint="eastAsia" w:ascii="宋体" w:hAnsi="宋体" w:cs="宋体"/>
        </w:rPr>
        <w:t>数据显示，</w:t>
      </w:r>
      <w:r>
        <w:rPr>
          <w:rFonts w:hint="eastAsia"/>
        </w:rPr>
        <w:t>毕业生在求职过程中关注度最高的因素是“薪酬水平”，达到</w:t>
      </w:r>
      <w:r>
        <w:t>26.70</w:t>
      </w:r>
      <w:r>
        <w:rPr>
          <w:rFonts w:hint="eastAsia"/>
        </w:rPr>
        <w:t>%，其次是“发展空间”（</w:t>
      </w:r>
      <w:r>
        <w:t>16.06</w:t>
      </w:r>
      <w:r>
        <w:rPr>
          <w:rFonts w:hint="eastAsia"/>
        </w:rPr>
        <w:t>%）、“工作稳定性”（</w:t>
      </w:r>
      <w:r>
        <w:t>14.85</w:t>
      </w:r>
      <w:r>
        <w:rPr>
          <w:rFonts w:hint="eastAsia"/>
        </w:rPr>
        <w:t>%）和“社会保障”（</w:t>
      </w:r>
      <w:r>
        <w:t>12.79</w:t>
      </w:r>
      <w:r>
        <w:rPr>
          <w:rFonts w:hint="eastAsia"/>
        </w:rPr>
        <w:t>%）。毕业生对薪资的总体满意度为7</w:t>
      </w:r>
      <w:r>
        <w:t>2.85%</w:t>
      </w:r>
      <w:r>
        <w:rPr>
          <w:rFonts w:hint="eastAsia"/>
        </w:rPr>
        <w:t>，半年内更换过工作的毕业生占比为24.8</w:t>
      </w:r>
      <w:r>
        <w:t>8</w:t>
      </w:r>
      <w:r>
        <w:rPr>
          <w:rFonts w:hint="eastAsia"/>
        </w:rPr>
        <w:t>%。未就业毕业生择业意向单位分析表明，排名前三的为国有企业（31.50%）、其他事业单位占比最高（23.84%）、政府机关（15.34%）。</w:t>
      </w:r>
    </w:p>
    <w:p>
      <w:pPr>
        <w:ind w:firstLine="480" w:firstLineChars="200"/>
      </w:pPr>
      <w:r>
        <w:rPr>
          <w:rFonts w:hint="eastAsia"/>
        </w:rPr>
        <w:t>由此可知，毕业生在求职过程中的择业定位和关注因素过于保守和谨慎。学院要加强引导学生树立合理就业观念，提升职业生涯规划能力。职业生涯规划是毕业生对职业生涯乃至人生进行持续的系统的计划过程。学院在毕业生求职过程中要加强职业生涯规划指导。一是加强就业指导教师的培养培训，提升其就业指导能力；二是要将学生职业发展与就业指导课程贯穿于整个人才培养体系，将就业创业课程与学科专业相融合；三是就业指导服务应呈现多元化、差异化、个性化的特点，为毕业生提供差异化的精准指导服务。</w:t>
      </w:r>
    </w:p>
    <w:p>
      <w:pPr>
        <w:pStyle w:val="4"/>
      </w:pPr>
      <w:bookmarkStart w:id="88" w:name="_Toc534985207"/>
      <w:r>
        <w:rPr>
          <w:rFonts w:hint="eastAsia"/>
        </w:rPr>
        <w:t>（二）</w:t>
      </w:r>
      <w:bookmarkStart w:id="89" w:name="_Toc531267403"/>
      <w:r>
        <w:rPr>
          <w:rFonts w:hint="eastAsia"/>
        </w:rPr>
        <w:t>创新就业创业服务，构建精准就业服务网络</w:t>
      </w:r>
      <w:bookmarkEnd w:id="88"/>
      <w:bookmarkEnd w:id="89"/>
    </w:p>
    <w:p>
      <w:pPr>
        <w:ind w:firstLine="480" w:firstLineChars="200"/>
      </w:pPr>
      <w:r>
        <w:rPr>
          <w:rFonts w:hint="eastAsia"/>
        </w:rPr>
        <w:t>数据显示，</w:t>
      </w:r>
      <w:r>
        <w:t>用人</w:t>
      </w:r>
      <w:r>
        <w:rPr>
          <w:rFonts w:hint="eastAsia"/>
        </w:rPr>
        <w:t>单</w:t>
      </w:r>
      <w:r>
        <w:t>位</w:t>
      </w:r>
      <w:r>
        <w:rPr>
          <w:rFonts w:hint="eastAsia"/>
        </w:rPr>
        <w:t>对</w:t>
      </w:r>
      <w:r>
        <w:t>学院</w:t>
      </w:r>
      <w:r>
        <w:rPr>
          <w:rFonts w:hint="eastAsia"/>
        </w:rPr>
        <w:t>就业网站建设的满</w:t>
      </w:r>
      <w:r>
        <w:t>意度</w:t>
      </w:r>
      <w:r>
        <w:rPr>
          <w:rFonts w:hint="eastAsia"/>
        </w:rPr>
        <w:t>为97.96</w:t>
      </w:r>
      <w:r>
        <w:t>%</w:t>
      </w:r>
      <w:r>
        <w:rPr>
          <w:rFonts w:hint="eastAsia"/>
        </w:rPr>
        <w:t>，其中非常满意占比40.82</w:t>
      </w:r>
      <w:r>
        <w:t>%</w:t>
      </w:r>
      <w:r>
        <w:rPr>
          <w:rFonts w:hint="eastAsia"/>
        </w:rPr>
        <w:t>；</w:t>
      </w:r>
      <w:r>
        <w:t>用人</w:t>
      </w:r>
      <w:r>
        <w:rPr>
          <w:rFonts w:hint="eastAsia"/>
        </w:rPr>
        <w:t>单</w:t>
      </w:r>
      <w:r>
        <w:t>位</w:t>
      </w:r>
      <w:r>
        <w:rPr>
          <w:rFonts w:hint="eastAsia"/>
        </w:rPr>
        <w:t>对</w:t>
      </w:r>
      <w:r>
        <w:t>学院</w:t>
      </w:r>
      <w:r>
        <w:rPr>
          <w:rFonts w:hint="eastAsia"/>
        </w:rPr>
        <w:t>组织毕业生参会的满</w:t>
      </w:r>
      <w:r>
        <w:t>意度</w:t>
      </w:r>
      <w:r>
        <w:rPr>
          <w:rFonts w:hint="eastAsia"/>
        </w:rPr>
        <w:t>为97.96</w:t>
      </w:r>
      <w:r>
        <w:t>%</w:t>
      </w:r>
      <w:r>
        <w:rPr>
          <w:rFonts w:hint="eastAsia"/>
        </w:rPr>
        <w:t>，其中非常</w:t>
      </w:r>
      <w:r>
        <w:rPr>
          <w:rFonts w:hint="eastAsia" w:cs="MS Mincho" w:asciiTheme="minorEastAsia" w:hAnsiTheme="minorEastAsia"/>
        </w:rPr>
        <w:t>满意占比</w:t>
      </w:r>
      <w:r>
        <w:rPr>
          <w:rFonts w:hint="eastAsia" w:cs="MS Mincho"/>
        </w:rPr>
        <w:t>36.73</w:t>
      </w:r>
      <w:r>
        <w:rPr>
          <w:rFonts w:cs="MS Mincho"/>
        </w:rPr>
        <w:t>%</w:t>
      </w:r>
      <w:r>
        <w:rPr>
          <w:rFonts w:hint="eastAsia" w:cs="MS Mincho" w:asciiTheme="minorEastAsia" w:hAnsiTheme="minorEastAsia"/>
        </w:rPr>
        <w:t>。</w:t>
      </w:r>
      <w:r>
        <w:t>用人单位对学院就业服务工作的改进建议</w:t>
      </w:r>
      <w:r>
        <w:rPr>
          <w:rFonts w:hint="eastAsia"/>
        </w:rPr>
        <w:t>显示，</w:t>
      </w:r>
      <w:r>
        <w:t>用人</w:t>
      </w:r>
      <w:r>
        <w:rPr>
          <w:rFonts w:hint="eastAsia"/>
        </w:rPr>
        <w:t>单</w:t>
      </w:r>
      <w:r>
        <w:t>位普遍</w:t>
      </w:r>
      <w:r>
        <w:rPr>
          <w:rFonts w:hint="eastAsia"/>
        </w:rPr>
        <w:t>认为</w:t>
      </w:r>
      <w:r>
        <w:t>学院</w:t>
      </w:r>
      <w:r>
        <w:rPr>
          <w:rFonts w:hint="eastAsia"/>
        </w:rPr>
        <w:t>应加强校企沟通（44.90%），增加校园招聘会场次（14.29%），拓宽服务项目（8.16%），提升服务态度（6.12%）。</w:t>
      </w:r>
    </w:p>
    <w:p>
      <w:pPr>
        <w:ind w:firstLine="480" w:firstLineChars="200"/>
      </w:pPr>
      <w:r>
        <w:rPr>
          <w:rFonts w:hint="eastAsia"/>
        </w:rPr>
        <w:t>一是根据毕业生和用人单位需求，多渠道、广领域开展精准对接服务；二是推动搭建跨区域、跨行业、跨类别的招聘信息服务平台，举办分层次、分类别、分行业的中小型校园招聘活动，更多采用网上初选、线下面试的便捷校园招聘模式；三是增强毕业生创新创业动力，建立灵活的创新创业评价机制，进一步细化和完善教学和学籍管理制度，进一步落实创新创业等鼓励优惠政策。</w:t>
      </w:r>
      <w:bookmarkEnd w:id="76"/>
    </w:p>
    <w:p>
      <w:pPr>
        <w:ind w:firstLine="480" w:firstLineChars="200"/>
      </w:pPr>
    </w:p>
    <w:p>
      <w:pPr>
        <w:ind w:firstLine="480" w:firstLineChars="200"/>
        <w:rPr>
          <w:rFonts w:hint="eastAsia"/>
        </w:rPr>
      </w:pPr>
    </w:p>
    <w:p>
      <w:pPr>
        <w:ind w:firstLine="480" w:firstLineChars="200"/>
        <w:rPr>
          <w:color w:val="262626" w:themeColor="text1" w:themeTint="D9"/>
          <w14:textFill>
            <w14:solidFill>
              <w14:schemeClr w14:val="tx1">
                <w14:lumMod w14:val="85000"/>
                <w14:lumOff w14:val="15000"/>
              </w14:schemeClr>
            </w14:solidFill>
          </w14:textFill>
        </w:rPr>
        <w:sectPr>
          <w:pgSz w:w="11900" w:h="16820"/>
          <w:pgMar w:top="1440" w:right="1800" w:bottom="1440" w:left="1800" w:header="851" w:footer="992" w:gutter="0"/>
          <w:cols w:space="425" w:num="1"/>
          <w:docGrid w:type="lines" w:linePitch="326" w:charSpace="0"/>
        </w:sectPr>
      </w:pPr>
    </w:p>
    <w:p>
      <w:pPr>
        <w:ind w:firstLine="480" w:firstLineChars="200"/>
        <w:rPr>
          <w:rFonts w:hint="eastAsia"/>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drawing>
          <wp:anchor distT="0" distB="0" distL="114300" distR="114300" simplePos="0" relativeHeight="251661312" behindDoc="0" locked="0" layoutInCell="1" allowOverlap="1">
            <wp:simplePos x="0" y="0"/>
            <wp:positionH relativeFrom="column">
              <wp:posOffset>-1131570</wp:posOffset>
            </wp:positionH>
            <wp:positionV relativeFrom="paragraph">
              <wp:posOffset>-892810</wp:posOffset>
            </wp:positionV>
            <wp:extent cx="15078075" cy="10293350"/>
            <wp:effectExtent l="0" t="0" r="9525" b="1270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077986" cy="10293505"/>
                    </a:xfrm>
                    <a:prstGeom prst="rect">
                      <a:avLst/>
                    </a:prstGeom>
                  </pic:spPr>
                </pic:pic>
              </a:graphicData>
            </a:graphic>
          </wp:anchor>
        </w:drawing>
      </w:r>
    </w:p>
    <w:p/>
    <w:sectPr>
      <w:pgSz w:w="11900" w:h="1682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0019F" w:csb1="00000000"/>
  </w:font>
  <w:font w:name="Cambria Math">
    <w:panose1 w:val="02040503050406030204"/>
    <w:charset w:val="00"/>
    <w:family w:val="roman"/>
    <w:pitch w:val="default"/>
    <w:sig w:usb0="E00002FF" w:usb1="42002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t>[6]</w:t>
      </w:r>
      <w:r>
        <w:rPr>
          <w:rFonts w:hint="eastAsia"/>
        </w:rPr>
        <w:t>综合得分采用5分制，下同。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D553F"/>
    <w:rsid w:val="4D33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jc w:val="both"/>
    </w:pPr>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9"/>
    <w:pPr>
      <w:keepNext/>
      <w:keepLines/>
      <w:widowControl w:val="0"/>
      <w:spacing w:before="240" w:after="240"/>
      <w:jc w:val="center"/>
      <w:outlineLvl w:val="0"/>
    </w:pPr>
    <w:rPr>
      <w:rFonts w:asciiTheme="minorEastAsia" w:hAnsiTheme="minorEastAsia" w:eastAsiaTheme="majorEastAsia" w:cstheme="majorBidi"/>
      <w:b/>
      <w:color w:val="000000" w:themeColor="text1"/>
      <w:kern w:val="2"/>
      <w:sz w:val="44"/>
      <w:szCs w:val="32"/>
      <w14:textFill>
        <w14:solidFill>
          <w14:schemeClr w14:val="tx1"/>
        </w14:solidFill>
      </w14:textFill>
    </w:rPr>
  </w:style>
  <w:style w:type="paragraph" w:styleId="3">
    <w:name w:val="heading 2"/>
    <w:basedOn w:val="1"/>
    <w:next w:val="1"/>
    <w:unhideWhenUsed/>
    <w:qFormat/>
    <w:uiPriority w:val="9"/>
    <w:pPr>
      <w:keepNext/>
      <w:keepLines/>
      <w:widowControl w:val="0"/>
      <w:spacing w:before="120" w:after="120"/>
      <w:outlineLvl w:val="1"/>
    </w:pPr>
    <w:rPr>
      <w:rFonts w:asciiTheme="minorEastAsia" w:hAnsiTheme="minorEastAsia" w:eastAsiaTheme="majorEastAsia" w:cstheme="majorBidi"/>
      <w:b/>
      <w:color w:val="000000" w:themeColor="text1"/>
      <w:kern w:val="2"/>
      <w:sz w:val="32"/>
      <w:szCs w:val="26"/>
      <w14:textFill>
        <w14:solidFill>
          <w14:schemeClr w14:val="tx1"/>
        </w14:solidFill>
      </w14:textFill>
    </w:rPr>
  </w:style>
  <w:style w:type="paragraph" w:styleId="4">
    <w:name w:val="heading 3"/>
    <w:basedOn w:val="1"/>
    <w:next w:val="1"/>
    <w:unhideWhenUsed/>
    <w:qFormat/>
    <w:uiPriority w:val="9"/>
    <w:pPr>
      <w:keepNext/>
      <w:keepLines/>
      <w:widowControl w:val="0"/>
      <w:spacing w:before="120" w:after="120"/>
      <w:outlineLvl w:val="2"/>
    </w:pPr>
    <w:rPr>
      <w:rFonts w:eastAsia="宋体" w:asciiTheme="minorEastAsia" w:hAnsiTheme="minorEastAsia" w:cstheme="majorBidi"/>
      <w:b/>
      <w:color w:val="000000" w:themeColor="text1"/>
      <w:kern w:val="2"/>
      <w:sz w:val="28"/>
      <w14:textFill>
        <w14:solidFill>
          <w14:schemeClr w14:val="tx1"/>
        </w14:solidFill>
      </w14:textFill>
    </w:rPr>
  </w:style>
  <w:style w:type="paragraph" w:styleId="5">
    <w:name w:val="heading 4"/>
    <w:basedOn w:val="1"/>
    <w:next w:val="1"/>
    <w:unhideWhenUsed/>
    <w:qFormat/>
    <w:uiPriority w:val="9"/>
    <w:pPr>
      <w:keepNext/>
      <w:keepLines/>
      <w:widowControl w:val="0"/>
      <w:spacing w:after="40"/>
      <w:ind w:firstLine="475"/>
      <w:outlineLvl w:val="3"/>
    </w:pPr>
    <w:rPr>
      <w:rFonts w:ascii="宋体" w:hAnsi="宋体" w:eastAsia="宋体" w:cstheme="majorBidi"/>
      <w:iCs/>
      <w:color w:val="000000" w:themeColor="text1"/>
      <w:kern w:val="2"/>
      <w:szCs w:val="22"/>
      <w14:textFill>
        <w14:solidFill>
          <w14:schemeClr w14:val="tx1"/>
        </w14:solidFill>
      </w14:textFill>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6">
    <w:name w:val="caption"/>
    <w:basedOn w:val="1"/>
    <w:next w:val="1"/>
    <w:unhideWhenUsed/>
    <w:qFormat/>
    <w:uiPriority w:val="99"/>
    <w:pPr>
      <w:spacing w:after="0" w:line="240" w:lineRule="auto"/>
    </w:pPr>
    <w:rPr>
      <w:rFonts w:eastAsia="黑体" w:asciiTheme="majorHAnsi" w:hAnsiTheme="majorHAnsi" w:cstheme="majorBidi"/>
      <w:kern w:val="2"/>
      <w:sz w:val="20"/>
      <w:szCs w:val="20"/>
    </w:rPr>
  </w:style>
  <w:style w:type="paragraph" w:styleId="7">
    <w:name w:val="footnote text"/>
    <w:basedOn w:val="1"/>
    <w:unhideWhenUsed/>
    <w:qFormat/>
    <w:uiPriority w:val="99"/>
    <w:pPr>
      <w:widowControl w:val="0"/>
      <w:snapToGrid w:val="0"/>
    </w:pPr>
    <w:rPr>
      <w:rFonts w:ascii="Calibri" w:hAnsi="Calibri" w:eastAsia="宋体" w:cs="黑体"/>
      <w:kern w:val="2"/>
      <w:sz w:val="18"/>
      <w:szCs w:val="22"/>
    </w:rPr>
  </w:style>
  <w:style w:type="character" w:styleId="9">
    <w:name w:val="footnote reference"/>
    <w:unhideWhenUsed/>
    <w:qFormat/>
    <w:uiPriority w:val="99"/>
    <w:rPr>
      <w:vertAlign w:val="superscript"/>
    </w:rPr>
  </w:style>
  <w:style w:type="paragraph" w:customStyle="1" w:styleId="11">
    <w:name w:val="报告内文"/>
    <w:basedOn w:val="1"/>
    <w:qFormat/>
    <w:uiPriority w:val="0"/>
    <w:pPr>
      <w:widowControl w:val="0"/>
      <w:spacing w:before="120" w:after="120"/>
      <w:ind w:firstLine="200" w:firstLineChars="200"/>
    </w:pPr>
    <w:rPr>
      <w:rFonts w:asciiTheme="minorEastAsia" w:hAnsiTheme="minorHAnsi" w:cstheme="minorBidi"/>
      <w:kern w:val="2"/>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chart" Target="charts/chart16.xml"/><Relationship Id="rId20" Type="http://schemas.openxmlformats.org/officeDocument/2006/relationships/chart" Target="charts/chart15.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65288;12.09&#6528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e%20yu\Desktop\&#20113;&#30740;&#31185;&#25216;\wo\1123&#28248;&#28525;&#22823;&#23398;&#20852;&#28248;&#23398;&#38498;\&#20852;&#28248;&#23398;&#38498;3-5&#22270;&#2599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e%20yu\Desktop\&#20113;&#30740;&#31185;&#25216;\wo\1123&#28248;&#28525;&#22823;&#23398;&#20852;&#28248;&#23398;&#38498;\&#20852;&#28248;&#23398;&#38498;3-5&#22270;&#2599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65288;12.09&#6528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65288;12.09&#6528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65288;12.09&#65289;.xlsx" TargetMode="External"/></Relationships>
</file>

<file path=word/charts/_rels/chart1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oleObject" Target="file:///C:\Users\he%20yu\Desktop\&#20113;&#30740;&#31185;&#25216;\wo\1123&#28248;&#28525;&#22823;&#23398;&#20852;&#28248;&#23398;&#38498;\&#20852;&#28248;&#23398;&#38498;3-5&#22270;&#25991;.xlsx"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oleObject" Target="file:///C:\Users\he%20yu\AppData\Roaming\Microsoft\Excel\&#20852;&#28248;&#23398;&#38498;3-5&#22270;&#25991;%20(version%202).xlsb" TargetMode="External"/></Relationships>
</file>

<file path=word/charts/_rels/chart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oleObject" Target="file:///C:\Users\he%20yu\AppData\Roaming\Microsoft\Excel\&#20852;&#28248;&#23398;&#38498;3-5&#22270;&#25991;%20(version%202).xlsb" TargetMode="External"/></Relationships>
</file>

<file path=word/charts/_rels/chart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oleObject" Target="file:///C:\Users\he%20yu\AppData\Roaming\Microsoft\Excel\&#20852;&#28248;&#23398;&#38498;3-5&#22270;&#25991;%20(version%202).xlsb"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65288;12.09&#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65288;12.09&#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65288;12.09&#652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65288;12.09&#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e%20yu\Desktop\&#20113;&#30740;&#31185;&#25216;\wo\1123&#28248;&#28525;&#22823;&#23398;&#20852;&#28248;&#23398;&#38498;\&#20852;&#28248;&#23398;&#38498;3-5&#22270;&#259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833333333333"/>
          <c:y val="0.145833333333333"/>
          <c:w val="0.46388888888889"/>
          <c:h val="0.773148148148149"/>
        </c:manualLayout>
      </c:layout>
      <c:doughnutChart>
        <c:varyColors val="1"/>
        <c:ser>
          <c:idx val="0"/>
          <c:order val="0"/>
          <c:explosion val="0"/>
          <c:dPt>
            <c:idx val="0"/>
            <c:bubble3D val="0"/>
            <c:spPr>
              <a:solidFill>
                <a:srgbClr val="D3C1EE"/>
              </a:solidFill>
              <a:ln w="19050">
                <a:solidFill>
                  <a:schemeClr val="lt1"/>
                </a:solidFill>
              </a:ln>
              <a:effectLst/>
            </c:spPr>
          </c:dPt>
          <c:dPt>
            <c:idx val="1"/>
            <c:bubble3D val="0"/>
            <c:spPr>
              <a:solidFill>
                <a:srgbClr val="42D7FB"/>
              </a:solidFill>
              <a:ln w="19050">
                <a:solidFill>
                  <a:schemeClr val="lt1"/>
                </a:solidFill>
              </a:ln>
              <a:effectLst/>
            </c:spPr>
          </c:dPt>
          <c:dPt>
            <c:idx val="2"/>
            <c:bubble3D val="0"/>
            <c:spPr>
              <a:solidFill>
                <a:srgbClr val="40EB6A"/>
              </a:solidFill>
              <a:ln w="19050">
                <a:solidFill>
                  <a:schemeClr val="lt1"/>
                </a:solidFill>
              </a:ln>
              <a:effectLst/>
            </c:spPr>
          </c:dPt>
          <c:dPt>
            <c:idx val="3"/>
            <c:bubble3D val="0"/>
            <c:spPr>
              <a:solidFill>
                <a:srgbClr val="FAC700"/>
              </a:solidFill>
              <a:ln w="19050">
                <a:solidFill>
                  <a:schemeClr val="lt1"/>
                </a:solidFill>
              </a:ln>
              <a:effectLst/>
            </c:spPr>
          </c:dPt>
          <c:dPt>
            <c:idx val="4"/>
            <c:bubble3D val="0"/>
            <c:spPr>
              <a:solidFill>
                <a:srgbClr val="F17556"/>
              </a:solidFill>
              <a:ln w="19050">
                <a:solidFill>
                  <a:schemeClr val="lt1"/>
                </a:solidFill>
              </a:ln>
              <a:effectLst/>
            </c:spPr>
          </c:dPt>
          <c:dLbls>
            <c:dLbl>
              <c:idx val="0"/>
              <c:layout>
                <c:manualLayout>
                  <c:x val="0.116327277742092"/>
                  <c:y val="-0.0879629159258319"/>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63238354661372"/>
                  <c:y val="0.0648147610580936"/>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19444444444444"/>
                  <c:y val="0.0277777777777779"/>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863374768377045"/>
                  <c:y val="-0.138568888566349"/>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258194083205662"/>
                  <c:y val="-0.142279844329804"/>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noFill/>
                      <a:prstDash val="solid"/>
                      <a:round/>
                    </a:ln>
                    <a:effectLst/>
                  </c:spPr>
                </c15:leaderLines>
              </c:ext>
            </c:extLst>
          </c:dLbls>
          <c:cat>
            <c:strRef>
              <c:f>推介度xx!$C$4:$C$8</c:f>
              <c:strCache>
                <c:ptCount val="5"/>
                <c:pt idx="0">
                  <c:v>非常愿意</c:v>
                </c:pt>
                <c:pt idx="1">
                  <c:v>愿意</c:v>
                </c:pt>
                <c:pt idx="2">
                  <c:v>比较愿意</c:v>
                </c:pt>
                <c:pt idx="3">
                  <c:v>不太愿意</c:v>
                </c:pt>
                <c:pt idx="4">
                  <c:v>很不愿意</c:v>
                </c:pt>
              </c:strCache>
            </c:strRef>
          </c:cat>
          <c:val>
            <c:numRef>
              <c:f>推介度xx!$E$4:$E$8</c:f>
              <c:numCache>
                <c:formatCode>0.00%</c:formatCode>
                <c:ptCount val="5"/>
                <c:pt idx="0">
                  <c:v>0.2932</c:v>
                </c:pt>
                <c:pt idx="1">
                  <c:v>0.3896</c:v>
                </c:pt>
                <c:pt idx="2">
                  <c:v>0.2644</c:v>
                </c:pt>
                <c:pt idx="3">
                  <c:v>0.0445</c:v>
                </c:pt>
                <c:pt idx="4">
                  <c:v>0.0082</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latin typeface="微软雅黑" panose="020B0503020204020204" pitchFamily="2" charset="-122"/>
          <a:ea typeface="微软雅黑" panose="020B0503020204020204" pitchFamily="2"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061252258482"/>
          <c:y val="0.0272796438419881"/>
          <c:w val="0.710775802458123"/>
          <c:h val="0.887072327984318"/>
        </c:manualLayout>
      </c:layout>
      <c:barChart>
        <c:barDir val="bar"/>
        <c:grouping val="clustered"/>
        <c:varyColors val="0"/>
        <c:ser>
          <c:idx val="0"/>
          <c:order val="0"/>
          <c:spPr>
            <a:solidFill>
              <a:srgbClr val="46C3E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地域XX!$A$3:$A$8</c:f>
              <c:strCache>
                <c:ptCount val="6"/>
                <c:pt idx="0">
                  <c:v>湖南省内</c:v>
                </c:pt>
                <c:pt idx="1">
                  <c:v>其他区域</c:v>
                </c:pt>
                <c:pt idx="2">
                  <c:v>珠三角区域</c:v>
                </c:pt>
                <c:pt idx="3">
                  <c:v>长三角区域</c:v>
                </c:pt>
                <c:pt idx="4">
                  <c:v>中部省份</c:v>
                </c:pt>
                <c:pt idx="5">
                  <c:v>西部省份</c:v>
                </c:pt>
              </c:strCache>
            </c:strRef>
          </c:cat>
          <c:val>
            <c:numRef>
              <c:f>地域XX!$B$3:$B$8</c:f>
              <c:numCache>
                <c:formatCode>0.00%</c:formatCode>
                <c:ptCount val="6"/>
                <c:pt idx="0">
                  <c:v>0.5714</c:v>
                </c:pt>
                <c:pt idx="1">
                  <c:v>0.1633</c:v>
                </c:pt>
                <c:pt idx="2">
                  <c:v>0.1429</c:v>
                </c:pt>
                <c:pt idx="3">
                  <c:v>0.0612</c:v>
                </c:pt>
                <c:pt idx="4">
                  <c:v>0.0408</c:v>
                </c:pt>
                <c:pt idx="5">
                  <c:v>0.0204</c:v>
                </c:pt>
              </c:numCache>
            </c:numRef>
          </c:val>
        </c:ser>
        <c:dLbls>
          <c:showLegendKey val="0"/>
          <c:showVal val="0"/>
          <c:showCatName val="0"/>
          <c:showSerName val="0"/>
          <c:showPercent val="0"/>
          <c:showBubbleSize val="0"/>
        </c:dLbls>
        <c:gapWidth val="100"/>
        <c:axId val="142450048"/>
        <c:axId val="142468224"/>
      </c:barChart>
      <c:catAx>
        <c:axId val="14245004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468224"/>
        <c:crosses val="autoZero"/>
        <c:auto val="1"/>
        <c:lblAlgn val="ctr"/>
        <c:lblOffset val="100"/>
        <c:noMultiLvlLbl val="0"/>
      </c:catAx>
      <c:valAx>
        <c:axId val="142468224"/>
        <c:scaling>
          <c:orientation val="minMax"/>
        </c:scaling>
        <c:delete val="0"/>
        <c:axPos val="b"/>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450048"/>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6C3E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招聘方式XX!$A$3:$A$6</c:f>
              <c:strCache>
                <c:ptCount val="4"/>
                <c:pt idx="0">
                  <c:v>校园招聘</c:v>
                </c:pt>
                <c:pt idx="1">
                  <c:v>社会招聘</c:v>
                </c:pt>
                <c:pt idx="2">
                  <c:v>在实习（见习）中选拔</c:v>
                </c:pt>
                <c:pt idx="3">
                  <c:v>定向（订单）培养</c:v>
                </c:pt>
              </c:strCache>
            </c:strRef>
          </c:cat>
          <c:val>
            <c:numRef>
              <c:f>招聘方式XX!$B$3:$B$6</c:f>
              <c:numCache>
                <c:formatCode>0.00%</c:formatCode>
                <c:ptCount val="4"/>
                <c:pt idx="0">
                  <c:v>0.7959</c:v>
                </c:pt>
                <c:pt idx="1">
                  <c:v>0.1633</c:v>
                </c:pt>
                <c:pt idx="2">
                  <c:v>0.0204</c:v>
                </c:pt>
                <c:pt idx="3">
                  <c:v>0.0204</c:v>
                </c:pt>
              </c:numCache>
            </c:numRef>
          </c:val>
        </c:ser>
        <c:dLbls>
          <c:showLegendKey val="0"/>
          <c:showVal val="1"/>
          <c:showCatName val="0"/>
          <c:showSerName val="0"/>
          <c:showPercent val="0"/>
          <c:showBubbleSize val="0"/>
        </c:dLbls>
        <c:gapWidth val="219"/>
        <c:overlap val="-27"/>
        <c:axId val="142488320"/>
        <c:axId val="142489856"/>
      </c:barChart>
      <c:catAx>
        <c:axId val="14248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489856"/>
        <c:crosses val="autoZero"/>
        <c:auto val="1"/>
        <c:lblAlgn val="ctr"/>
        <c:lblOffset val="100"/>
        <c:noMultiLvlLbl val="0"/>
      </c:catAx>
      <c:valAx>
        <c:axId val="142489856"/>
        <c:scaling>
          <c:orientation val="minMax"/>
        </c:scaling>
        <c:delete val="0"/>
        <c:axPos val="l"/>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488320"/>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46C3E3"/>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录用关注因素!$C$4:$C$10</c:f>
              <c:strCache>
                <c:ptCount val="7"/>
                <c:pt idx="0">
                  <c:v>综合素质</c:v>
                </c:pt>
                <c:pt idx="1">
                  <c:v>社会适应能力</c:v>
                </c:pt>
                <c:pt idx="2">
                  <c:v>所学专业</c:v>
                </c:pt>
                <c:pt idx="3">
                  <c:v>社会关系</c:v>
                </c:pt>
                <c:pt idx="4">
                  <c:v>学习成绩</c:v>
                </c:pt>
                <c:pt idx="5">
                  <c:v>学历层次</c:v>
                </c:pt>
                <c:pt idx="6">
                  <c:v>是否学生干部</c:v>
                </c:pt>
              </c:strCache>
            </c:strRef>
          </c:cat>
          <c:val>
            <c:numRef>
              <c:f>录用关注因素!$E$4:$E$10</c:f>
              <c:numCache>
                <c:formatCode>0.00%</c:formatCode>
                <c:ptCount val="7"/>
                <c:pt idx="0">
                  <c:v>0.307692307692308</c:v>
                </c:pt>
                <c:pt idx="1">
                  <c:v>0.261538461538462</c:v>
                </c:pt>
                <c:pt idx="2">
                  <c:v>0.169230769230769</c:v>
                </c:pt>
                <c:pt idx="3">
                  <c:v>0.0923076923076925</c:v>
                </c:pt>
                <c:pt idx="4">
                  <c:v>0.0923076923076925</c:v>
                </c:pt>
                <c:pt idx="5">
                  <c:v>0.0461538461538462</c:v>
                </c:pt>
                <c:pt idx="6">
                  <c:v>0.0307692307692308</c:v>
                </c:pt>
              </c:numCache>
            </c:numRef>
          </c:val>
        </c:ser>
        <c:dLbls>
          <c:showLegendKey val="0"/>
          <c:showVal val="1"/>
          <c:showCatName val="0"/>
          <c:showSerName val="0"/>
          <c:showPercent val="0"/>
          <c:showBubbleSize val="0"/>
        </c:dLbls>
        <c:gapWidth val="120"/>
        <c:axId val="142522240"/>
        <c:axId val="142523776"/>
      </c:barChart>
      <c:catAx>
        <c:axId val="142522240"/>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42523776"/>
        <c:crosses val="autoZero"/>
        <c:auto val="1"/>
        <c:lblAlgn val="ctr"/>
        <c:lblOffset val="100"/>
        <c:noMultiLvlLbl val="0"/>
      </c:catAx>
      <c:valAx>
        <c:axId val="142523776"/>
        <c:scaling>
          <c:orientation val="minMax"/>
        </c:scaling>
        <c:delete val="0"/>
        <c:axPos val="b"/>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4252224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900">
          <a:latin typeface="微软雅黑" panose="020B0503020204020204" pitchFamily="2" charset="-122"/>
          <a:ea typeface="微软雅黑" panose="020B0503020204020204" pitchFamily="2" charset="-122"/>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837367000513"/>
          <c:y val="0.143609610164791"/>
          <c:w val="0.51832548905891"/>
          <c:h val="0.78108387465441"/>
        </c:manualLayout>
      </c:layout>
      <c:pieChart>
        <c:varyColors val="1"/>
        <c:ser>
          <c:idx val="0"/>
          <c:order val="0"/>
          <c:explosion val="0"/>
          <c:dPt>
            <c:idx val="0"/>
            <c:bubble3D val="0"/>
            <c:spPr>
              <a:solidFill>
                <a:srgbClr val="FAC700"/>
              </a:solidFill>
              <a:ln w="19050">
                <a:solidFill>
                  <a:schemeClr val="lt1"/>
                </a:solidFill>
              </a:ln>
              <a:effectLst/>
            </c:spPr>
          </c:dPt>
          <c:dPt>
            <c:idx val="1"/>
            <c:bubble3D val="0"/>
            <c:spPr>
              <a:solidFill>
                <a:srgbClr val="40EB6A"/>
              </a:solidFill>
              <a:ln w="19050">
                <a:solidFill>
                  <a:schemeClr val="lt1"/>
                </a:solidFill>
              </a:ln>
              <a:effectLst/>
            </c:spPr>
          </c:dPt>
          <c:dPt>
            <c:idx val="2"/>
            <c:bubble3D val="0"/>
            <c:spPr>
              <a:solidFill>
                <a:srgbClr val="42D7FB"/>
              </a:solidFill>
              <a:ln w="19050">
                <a:solidFill>
                  <a:schemeClr val="lt1"/>
                </a:solidFill>
              </a:ln>
              <a:effectLst/>
            </c:spPr>
          </c:dPt>
          <c:dPt>
            <c:idx val="3"/>
            <c:bubble3D val="0"/>
            <c:spPr>
              <a:solidFill>
                <a:srgbClr val="D3C1EE"/>
              </a:solidFill>
              <a:ln w="19050">
                <a:solidFill>
                  <a:schemeClr val="lt1"/>
                </a:solidFill>
              </a:ln>
              <a:effectLst/>
            </c:spPr>
          </c:dPt>
          <c:dLbls>
            <c:dLbl>
              <c:idx val="0"/>
              <c:layout>
                <c:manualLayout>
                  <c:x val="-0.0295690482032522"/>
                  <c:y val="0.011850187142137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0215498204367514"/>
                  <c:y val="-0.02799216729598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3983716624657"/>
                  <c:y val="-0.00024225198502878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0602685641631909"/>
                  <c:y val="0.039151622311639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关注专业相关XX!$B$6:$B$9</c:f>
              <c:strCache>
                <c:ptCount val="4"/>
                <c:pt idx="0">
                  <c:v>非常关注</c:v>
                </c:pt>
                <c:pt idx="1">
                  <c:v>不太关注</c:v>
                </c:pt>
                <c:pt idx="2">
                  <c:v>关注</c:v>
                </c:pt>
                <c:pt idx="3">
                  <c:v>比较关注</c:v>
                </c:pt>
              </c:strCache>
            </c:strRef>
          </c:cat>
          <c:val>
            <c:numRef>
              <c:f>关注专业相关XX!$D$6:$D$9</c:f>
              <c:numCache>
                <c:formatCode>0.00%</c:formatCode>
                <c:ptCount val="4"/>
                <c:pt idx="0">
                  <c:v>0.1224</c:v>
                </c:pt>
                <c:pt idx="1">
                  <c:v>0.2449</c:v>
                </c:pt>
                <c:pt idx="2">
                  <c:v>0.2857</c:v>
                </c:pt>
                <c:pt idx="3">
                  <c:v>0.3469</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latin typeface="微软雅黑" panose="020B0503020204020204" pitchFamily="2" charset="-122"/>
          <a:ea typeface="微软雅黑" panose="020B0503020204020204" pitchFamily="2" charset="-122"/>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833333333333"/>
          <c:y val="0.0943035743720441"/>
          <c:w val="0.420658130350529"/>
          <c:h val="0.869766569033943"/>
        </c:manualLayout>
      </c:layout>
      <c:doughnutChart>
        <c:varyColors val="1"/>
        <c:ser>
          <c:idx val="0"/>
          <c:order val="0"/>
          <c:explosion val="0"/>
          <c:dPt>
            <c:idx val="0"/>
            <c:bubble3D val="0"/>
            <c:spPr>
              <a:solidFill>
                <a:srgbClr val="42D7FB"/>
              </a:solidFill>
              <a:ln w="19050">
                <a:solidFill>
                  <a:schemeClr val="lt1"/>
                </a:solidFill>
              </a:ln>
              <a:effectLst/>
            </c:spPr>
          </c:dPt>
          <c:dPt>
            <c:idx val="1"/>
            <c:bubble3D val="0"/>
            <c:spPr>
              <a:solidFill>
                <a:srgbClr val="40EB6A"/>
              </a:solidFill>
              <a:ln w="19050">
                <a:solidFill>
                  <a:schemeClr val="lt1"/>
                </a:solidFill>
              </a:ln>
              <a:effectLst/>
            </c:spPr>
          </c:dPt>
          <c:dPt>
            <c:idx val="2"/>
            <c:bubble3D val="0"/>
            <c:spPr>
              <a:solidFill>
                <a:srgbClr val="FAC700"/>
              </a:solidFill>
              <a:ln w="19050">
                <a:solidFill>
                  <a:schemeClr val="lt1"/>
                </a:solidFill>
              </a:ln>
              <a:effectLst/>
            </c:spPr>
          </c:dPt>
          <c:dLbls>
            <c:dLbl>
              <c:idx val="0"/>
              <c:layout>
                <c:manualLayout>
                  <c:x val="0.107742241601951"/>
                  <c:y val="-0.0879628130595826"/>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2001032401577"/>
                  <c:y val="0.0224359164496439"/>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0377118748007"/>
                  <c:y val="-0.126223135151584"/>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noFill/>
                      <a:prstDash val="solid"/>
                      <a:round/>
                    </a:ln>
                    <a:effectLst/>
                  </c:spPr>
                </c15:leaderLines>
              </c:ext>
            </c:extLst>
          </c:dLbls>
          <c:cat>
            <c:strRef>
              <c:f>用人单位对毕业生满意度XX!$C$4:$C$6</c:f>
              <c:strCache>
                <c:ptCount val="3"/>
                <c:pt idx="0">
                  <c:v>满意</c:v>
                </c:pt>
                <c:pt idx="1">
                  <c:v>非常满意</c:v>
                </c:pt>
                <c:pt idx="2">
                  <c:v>比较满意</c:v>
                </c:pt>
              </c:strCache>
            </c:strRef>
          </c:cat>
          <c:val>
            <c:numRef>
              <c:f>用人单位对毕业生满意度XX!$E$4:$E$6</c:f>
              <c:numCache>
                <c:formatCode>0.00%</c:formatCode>
                <c:ptCount val="3"/>
                <c:pt idx="0">
                  <c:v>0.4694</c:v>
                </c:pt>
                <c:pt idx="1">
                  <c:v>0.387800000000001</c:v>
                </c:pt>
                <c:pt idx="2">
                  <c:v>0.1429</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latin typeface="微软雅黑" panose="020B0503020204020204" pitchFamily="2" charset="-122"/>
          <a:ea typeface="微软雅黑" panose="020B0503020204020204" pitchFamily="2" charset="-122"/>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4142748157389"/>
          <c:y val="0.202338508266645"/>
          <c:w val="0.46388888888889"/>
          <c:h val="0.773148148148149"/>
        </c:manualLayout>
      </c:layout>
      <c:doughnutChart>
        <c:varyColors val="1"/>
        <c:ser>
          <c:idx val="0"/>
          <c:order val="0"/>
          <c:spPr>
            <a:solidFill>
              <a:srgbClr val="955A4C"/>
            </a:solidFill>
          </c:spPr>
          <c:explosion val="0"/>
          <c:dPt>
            <c:idx val="0"/>
            <c:bubble3D val="0"/>
            <c:spPr>
              <a:solidFill>
                <a:srgbClr val="40EB6A"/>
              </a:solidFill>
              <a:ln w="19050">
                <a:solidFill>
                  <a:schemeClr val="lt1"/>
                </a:solidFill>
              </a:ln>
              <a:effectLst/>
            </c:spPr>
          </c:dPt>
          <c:dPt>
            <c:idx val="1"/>
            <c:bubble3D val="0"/>
            <c:spPr>
              <a:solidFill>
                <a:srgbClr val="42D7FB"/>
              </a:solidFill>
              <a:ln w="19050">
                <a:solidFill>
                  <a:schemeClr val="lt1"/>
                </a:solidFill>
              </a:ln>
              <a:effectLst/>
            </c:spPr>
          </c:dPt>
          <c:dPt>
            <c:idx val="2"/>
            <c:bubble3D val="0"/>
            <c:spPr>
              <a:solidFill>
                <a:srgbClr val="FAC700"/>
              </a:solidFill>
              <a:ln w="19050">
                <a:solidFill>
                  <a:schemeClr val="lt1"/>
                </a:solidFill>
              </a:ln>
              <a:effectLst/>
            </c:spPr>
          </c:dPt>
          <c:dLbls>
            <c:dLbl>
              <c:idx val="0"/>
              <c:layout>
                <c:manualLayout>
                  <c:x val="0.0833333333333333"/>
                  <c:y val="-0.0879629629629632"/>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2001032401577"/>
                  <c:y val="0.0224359164496439"/>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414660102393712"/>
                  <c:y val="-0.169989737140281"/>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人才培养满意度XX!$C$4:$C$6</c:f>
              <c:strCache>
                <c:ptCount val="3"/>
                <c:pt idx="0">
                  <c:v>非常满意</c:v>
                </c:pt>
                <c:pt idx="1">
                  <c:v>满意</c:v>
                </c:pt>
                <c:pt idx="2">
                  <c:v>比较满意</c:v>
                </c:pt>
              </c:strCache>
            </c:strRef>
          </c:cat>
          <c:val>
            <c:numRef>
              <c:f>人才培养满意度XX!$E$4:$E$6</c:f>
              <c:numCache>
                <c:formatCode>0.00%</c:formatCode>
                <c:ptCount val="3"/>
                <c:pt idx="0">
                  <c:v>0.367300000000001</c:v>
                </c:pt>
                <c:pt idx="1">
                  <c:v>0.5102</c:v>
                </c:pt>
                <c:pt idx="2">
                  <c:v>0.1224</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latin typeface="微软雅黑" panose="020B0503020204020204" pitchFamily="2" charset="-122"/>
          <a:ea typeface="微软雅黑" panose="020B0503020204020204" pitchFamily="2" charset="-122"/>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blipFill>
              <a:blip xmlns:r="http://schemas.openxmlformats.org/officeDocument/2006/relationships" r:embed="rId2"/>
              <a:stretch>
                <a:fillRect/>
              </a:stretch>
            </a:blipFill>
            <a:ln>
              <a:noFill/>
            </a:ln>
            <a:effectLst/>
          </c:spPr>
          <c:invertIfNegative val="0"/>
          <c:pictureOptions>
            <c:pictureFormat val="stack"/>
          </c:pictureOptions>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就业服务建议xx!$C$4:$C$10</c:f>
              <c:strCache>
                <c:ptCount val="7"/>
                <c:pt idx="0">
                  <c:v>加强校企沟通</c:v>
                </c:pt>
                <c:pt idx="1">
                  <c:v>增加招聘场次</c:v>
                </c:pt>
                <c:pt idx="2">
                  <c:v>其他</c:v>
                </c:pt>
                <c:pt idx="3">
                  <c:v>拓宽服务项目</c:v>
                </c:pt>
                <c:pt idx="4">
                  <c:v>提升服务态度</c:v>
                </c:pt>
                <c:pt idx="5">
                  <c:v>改进招聘硬件设施</c:v>
                </c:pt>
                <c:pt idx="6">
                  <c:v>加强宣传力度</c:v>
                </c:pt>
              </c:strCache>
            </c:strRef>
          </c:cat>
          <c:val>
            <c:numRef>
              <c:f>就业服务建议xx!$E$4:$E$10</c:f>
              <c:numCache>
                <c:formatCode>0.00%</c:formatCode>
                <c:ptCount val="7"/>
                <c:pt idx="0">
                  <c:v>0.449</c:v>
                </c:pt>
                <c:pt idx="1">
                  <c:v>0.1429</c:v>
                </c:pt>
                <c:pt idx="2">
                  <c:v>0.1429</c:v>
                </c:pt>
                <c:pt idx="3">
                  <c:v>0.0816</c:v>
                </c:pt>
                <c:pt idx="4">
                  <c:v>0.0612</c:v>
                </c:pt>
                <c:pt idx="5">
                  <c:v>0.0612</c:v>
                </c:pt>
                <c:pt idx="6">
                  <c:v>0.0612</c:v>
                </c:pt>
              </c:numCache>
            </c:numRef>
          </c:val>
        </c:ser>
        <c:dLbls>
          <c:showLegendKey val="0"/>
          <c:showVal val="1"/>
          <c:showCatName val="0"/>
          <c:showSerName val="0"/>
          <c:showPercent val="0"/>
          <c:showBubbleSize val="0"/>
        </c:dLbls>
        <c:gapWidth val="120"/>
        <c:axId val="139887744"/>
        <c:axId val="139889280"/>
      </c:barChart>
      <c:catAx>
        <c:axId val="139887744"/>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39889280"/>
        <c:crosses val="autoZero"/>
        <c:auto val="1"/>
        <c:lblAlgn val="ctr"/>
        <c:lblOffset val="100"/>
        <c:noMultiLvlLbl val="0"/>
      </c:catAx>
      <c:valAx>
        <c:axId val="139889280"/>
        <c:scaling>
          <c:orientation val="minMax"/>
        </c:scaling>
        <c:delete val="0"/>
        <c:axPos val="b"/>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3988774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900">
          <a:latin typeface="微软雅黑" panose="020B0503020204020204" pitchFamily="2" charset="-122"/>
          <a:ea typeface="微软雅黑" panose="020B0503020204020204" pitchFamily="2"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251297826101"/>
          <c:y val="0.0125363055905275"/>
          <c:w val="0.712117826487905"/>
          <c:h val="0.987463694409473"/>
        </c:manualLayout>
      </c:layout>
      <c:barChart>
        <c:barDir val="bar"/>
        <c:grouping val="clustered"/>
        <c:varyColors val="0"/>
        <c:ser>
          <c:idx val="1"/>
          <c:order val="1"/>
          <c:spPr>
            <a:blipFill>
              <a:blip xmlns:r="http://schemas.openxmlformats.org/officeDocument/2006/relationships" r:embed="rId2"/>
              <a:stretch>
                <a:fillRect/>
              </a:stretch>
            </a:blipFill>
            <a:ln>
              <a:noFill/>
            </a:ln>
            <a:effectLst/>
          </c:spPr>
          <c:invertIfNegative val="0"/>
          <c:pictureOptions>
            <c:pictureFormat val="stack"/>
          </c:pictureOptions>
          <c:dLbls>
            <c:dLbl>
              <c:idx val="0"/>
              <c:layout/>
              <c:tx>
                <c:rich>
                  <a:bodyPr rot="0" spcFirstLastPara="1" vertOverflow="ellipsis" vert="horz" wrap="square" lIns="38100" tIns="19050" rIns="38100" bIns="19050" anchor="ctr" anchorCtr="1"/>
                  <a:lstStyle/>
                  <a:p>
                    <a:fld id="{a8254b59-3e16-4151-ac29-a7fcf3b519e9}" type="CELLRANGE">
                      <a:t>[CELLRANGE]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
              <c:layout/>
              <c:tx>
                <c:rich>
                  <a:bodyPr rot="0" spcFirstLastPara="1" vertOverflow="ellipsis" vert="horz" wrap="square" lIns="38100" tIns="19050" rIns="38100" bIns="19050" anchor="ctr" anchorCtr="1"/>
                  <a:lstStyle/>
                  <a:p>
                    <a:fld id="{2c971e43-7688-46c5-8294-a75f11e80e00}" type="CELLRANGE">
                      <a:t>[CELLRANGE]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rot="0" spcFirstLastPara="1" vertOverflow="ellipsis" vert="horz" wrap="square" lIns="38100" tIns="19050" rIns="38100" bIns="19050" anchor="ctr" anchorCtr="1"/>
                  <a:lstStyle/>
                  <a:p>
                    <a:fld id="{f3f85107-088f-4c89-9d74-96e8abcc2d8a}" type="CELLRANGE">
                      <a:t>[CELLRANGE]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rot="0" spcFirstLastPara="1" vertOverflow="ellipsis" vert="horz" wrap="square" lIns="38100" tIns="19050" rIns="38100" bIns="19050" anchor="ctr" anchorCtr="1"/>
                  <a:lstStyle/>
                  <a:p>
                    <a:fld id="{fa3189a2-ee5a-4683-8f3b-b174549d7add}" type="CELLRANGE">
                      <a:t>[CELLRANGE]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rot="0" spcFirstLastPara="1" vertOverflow="ellipsis" vert="horz" wrap="square" lIns="38100" tIns="19050" rIns="38100" bIns="19050" anchor="ctr" anchorCtr="1"/>
                  <a:lstStyle/>
                  <a:p>
                    <a:fld id="{a16b7b31-5006-4bcf-8c92-b9ab18ea87b3}" type="CELLRANGE">
                      <a:t>[CELLRANGE]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rot="0" spcFirstLastPara="1" vertOverflow="ellipsis" vert="horz" wrap="square" lIns="38100" tIns="19050" rIns="38100" bIns="19050" anchor="ctr" anchorCtr="1"/>
                  <a:lstStyle/>
                  <a:p>
                    <a:fld id="{451e5c5c-de41-4218-b2af-3ee41f43bce8}" type="CELLRANGE">
                      <a:t>[CELLRANGE]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6"/>
              <c:layout/>
              <c:tx>
                <c:rich>
                  <a:bodyPr rot="0" spcFirstLastPara="1" vertOverflow="ellipsis" vert="horz" wrap="square" lIns="38100" tIns="19050" rIns="38100" bIns="19050" anchor="ctr" anchorCtr="1"/>
                  <a:lstStyle/>
                  <a:p>
                    <a:fld id="{64d7f76d-a81e-4d00-b0b0-bea4543d1c21}" type="CELLRANGE">
                      <a:t>[CELLRANGE]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7"/>
              <c:layout/>
              <c:tx>
                <c:rich>
                  <a:bodyPr rot="0" spcFirstLastPara="1" vertOverflow="ellipsis" vert="horz" wrap="square" lIns="38100" tIns="19050" rIns="38100" bIns="19050" anchor="ctr" anchorCtr="1"/>
                  <a:lstStyle/>
                  <a:p>
                    <a:fld id="{1e904aab-c44a-483d-ab65-bdace0ca0e7c}" type="CELLRANGE">
                      <a:t>[CELLRANGE]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8"/>
              <c:layout/>
              <c:tx>
                <c:rich>
                  <a:bodyPr rot="0" spcFirstLastPara="1" vertOverflow="ellipsis" vert="horz" wrap="square" lIns="38100" tIns="19050" rIns="38100" bIns="19050" anchor="ctr" anchorCtr="1"/>
                  <a:lstStyle/>
                  <a:p>
                    <a:fld id="{2bc745a8-d2e4-44ac-9884-45dd9395c88a}" type="CELLRANGE">
                      <a:t>[CELLRANGE]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9"/>
              <c:layout/>
              <c:tx>
                <c:rich>
                  <a:bodyPr rot="0" spcFirstLastPara="1" vertOverflow="ellipsis" vert="horz" wrap="square" lIns="38100" tIns="19050" rIns="38100" bIns="19050" anchor="ctr" anchorCtr="1"/>
                  <a:lstStyle/>
                  <a:p>
                    <a:fld id="{df3213ee-88b9-4295-9323-ae1e47fee43c}" type="CELLRANGE">
                      <a:t>[CELLRANGE]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0"/>
              <c:layout/>
              <c:dLblPos val="outEnd"/>
              <c:showLegendKey val="0"/>
              <c:showVal val="0"/>
              <c:showCatName val="0"/>
              <c:showSerName val="0"/>
              <c:showPercent val="0"/>
              <c:showBubbleSize val="0"/>
              <c:extLst>
                <c:ext xmlns:c15="http://schemas.microsoft.com/office/drawing/2012/chart" uri="{CE6537A1-D6FC-4f65-9D91-7224C49458BB}">
                  <c15:layout/>
                  <c15:dlblFieldTable/>
                  <c15:xForSave val="1"/>
                </c:ext>
              </c:extLst>
            </c:dLbl>
            <c:dLbl>
              <c:idx val="11"/>
              <c:layout>
                <c:manualLayout>
                  <c:x val="-0.00506008855154965"/>
                  <c:y val="0"/>
                </c:manualLayout>
              </c:layout>
              <c:tx>
                <c:rich>
                  <a:bodyPr rot="0" spcFirstLastPara="1" vertOverflow="ellipsis" vert="horz" wrap="square" lIns="38100" tIns="19050" rIns="38100" bIns="19050" anchor="ctr" anchorCtr="1"/>
                  <a:lstStyle/>
                  <a:p>
                    <a:fld id="{a08399b1-7f84-4845-bbca-57d32410fe37}" type="CELLRANGE">
                      <a:t>[CELLRANGE]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prstDash val="solid"/>
                      <a:round/>
                    </a:ln>
                    <a:effectLst/>
                  </c:spPr>
                </c15:leaderLines>
              </c:ext>
            </c:extLst>
          </c:dLbls>
          <c:cat>
            <c:strRef>
              <c:f>满意度影响因素xx!$B$2:$B$13</c:f>
              <c:strCache>
                <c:ptCount val="12"/>
                <c:pt idx="0">
                  <c:v>校风学风</c:v>
                </c:pt>
                <c:pt idx="1">
                  <c:v>所学知识/能力满足需求</c:v>
                </c:pt>
                <c:pt idx="2">
                  <c:v>学校管理人员办事效率和态度</c:v>
                </c:pt>
                <c:pt idx="3">
                  <c:v>师生课外交流</c:v>
                </c:pt>
                <c:pt idx="4">
                  <c:v>图书与教学设施</c:v>
                </c:pt>
                <c:pt idx="5">
                  <c:v>食堂服务与饭菜质量</c:v>
                </c:pt>
                <c:pt idx="6">
                  <c:v>辅导员办事效率和态度</c:v>
                </c:pt>
                <c:pt idx="7">
                  <c:v>学校规章制度</c:v>
                </c:pt>
                <c:pt idx="8">
                  <c:v>校园交通便利情况</c:v>
                </c:pt>
                <c:pt idx="9">
                  <c:v>文娱体育设施</c:v>
                </c:pt>
                <c:pt idx="10">
                  <c:v>其他</c:v>
                </c:pt>
                <c:pt idx="11">
                  <c:v>上网便利性</c:v>
                </c:pt>
              </c:strCache>
            </c:strRef>
          </c:cat>
          <c:val>
            <c:numRef>
              <c:f>满意度影响因素xx!$D$2:$D$13</c:f>
              <c:numCache>
                <c:formatCode>0.00%</c:formatCode>
                <c:ptCount val="12"/>
                <c:pt idx="0">
                  <c:v>0.23</c:v>
                </c:pt>
                <c:pt idx="1">
                  <c:v>0.23</c:v>
                </c:pt>
                <c:pt idx="2">
                  <c:v>0.23</c:v>
                </c:pt>
                <c:pt idx="3">
                  <c:v>0.23</c:v>
                </c:pt>
                <c:pt idx="4">
                  <c:v>0.23</c:v>
                </c:pt>
                <c:pt idx="5">
                  <c:v>0.23</c:v>
                </c:pt>
                <c:pt idx="6">
                  <c:v>0.23</c:v>
                </c:pt>
                <c:pt idx="7">
                  <c:v>0.23</c:v>
                </c:pt>
                <c:pt idx="8">
                  <c:v>0.23</c:v>
                </c:pt>
                <c:pt idx="9">
                  <c:v>0.23</c:v>
                </c:pt>
                <c:pt idx="10">
                  <c:v>0.23</c:v>
                </c:pt>
                <c:pt idx="11">
                  <c:v>0.23</c:v>
                </c:pt>
              </c:numCache>
            </c:numRef>
          </c:val>
          <c:extLst>
            <c:ext xmlns:c15="http://schemas.microsoft.com/office/drawing/2012/chart" uri="{02D57815-91ED-43cb-92C2-25804820EDAC}">
              <c15:datalabelsRange>
                <c15:f>影响因素!$C$2:$C$20</c15:f>
                <c15:dlblRangeCache>
                  <c:ptCount val="19"/>
                  <c:pt idx="0">
                    <c:v>18.14%</c:v>
                  </c:pt>
                  <c:pt idx="1">
                    <c:v>16.62%</c:v>
                  </c:pt>
                  <c:pt idx="2">
                    <c:v>11.84%</c:v>
                  </c:pt>
                  <c:pt idx="3">
                    <c:v>9.54%</c:v>
                  </c:pt>
                  <c:pt idx="4">
                    <c:v>8.74%</c:v>
                  </c:pt>
                  <c:pt idx="5">
                    <c:v>8.05%</c:v>
                  </c:pt>
                  <c:pt idx="6">
                    <c:v>7.86%</c:v>
                  </c:pt>
                  <c:pt idx="7">
                    <c:v>6.17%</c:v>
                  </c:pt>
                  <c:pt idx="8">
                    <c:v>3.66%</c:v>
                  </c:pt>
                  <c:pt idx="9">
                    <c:v>3.64%</c:v>
                  </c:pt>
                  <c:pt idx="10">
                    <c:v>3.23%</c:v>
                  </c:pt>
                  <c:pt idx="11">
                    <c:v>2.50%</c:v>
                  </c:pt>
                </c15:dlblRangeCache>
              </c15:datalabelsRange>
            </c:ext>
          </c:extLst>
        </c:ser>
        <c:dLbls>
          <c:showLegendKey val="0"/>
          <c:showVal val="0"/>
          <c:showCatName val="0"/>
          <c:showSerName val="0"/>
          <c:showPercent val="0"/>
          <c:showBubbleSize val="0"/>
        </c:dLbls>
        <c:gapWidth val="100"/>
        <c:axId val="139913472"/>
        <c:axId val="139956224"/>
      </c:barChart>
      <c:barChart>
        <c:barDir val="bar"/>
        <c:grouping val="clustered"/>
        <c:varyColors val="0"/>
        <c:ser>
          <c:idx val="0"/>
          <c:order val="0"/>
          <c:spPr>
            <a:blipFill>
              <a:blip xmlns:r="http://schemas.openxmlformats.org/officeDocument/2006/relationships" r:embed="rId3"/>
              <a:stretch>
                <a:fillRect/>
              </a:stretch>
            </a:blipFill>
            <a:ln>
              <a:noFill/>
            </a:ln>
            <a:effectLst/>
          </c:spPr>
          <c:invertIfNegative val="0"/>
          <c:pictureOptions>
            <c:pictureFormat val="stack"/>
          </c:pictureOptions>
          <c:dLbls>
            <c:delete val="1"/>
          </c:dLbls>
          <c:cat>
            <c:strRef>
              <c:f>满意度影响因素xx!$B$2:$B$13</c:f>
              <c:strCache>
                <c:ptCount val="12"/>
                <c:pt idx="0">
                  <c:v>校风学风</c:v>
                </c:pt>
                <c:pt idx="1">
                  <c:v>所学知识/能力满足需求</c:v>
                </c:pt>
                <c:pt idx="2">
                  <c:v>学校管理人员办事效率和态度</c:v>
                </c:pt>
                <c:pt idx="3">
                  <c:v>师生课外交流</c:v>
                </c:pt>
                <c:pt idx="4">
                  <c:v>图书与教学设施</c:v>
                </c:pt>
                <c:pt idx="5">
                  <c:v>食堂服务与饭菜质量</c:v>
                </c:pt>
                <c:pt idx="6">
                  <c:v>辅导员办事效率和态度</c:v>
                </c:pt>
                <c:pt idx="7">
                  <c:v>学校规章制度</c:v>
                </c:pt>
                <c:pt idx="8">
                  <c:v>校园交通便利情况</c:v>
                </c:pt>
                <c:pt idx="9">
                  <c:v>文娱体育设施</c:v>
                </c:pt>
                <c:pt idx="10">
                  <c:v>其他</c:v>
                </c:pt>
                <c:pt idx="11">
                  <c:v>上网便利性</c:v>
                </c:pt>
              </c:strCache>
            </c:strRef>
          </c:cat>
          <c:val>
            <c:numRef>
              <c:f>满意度影响因素xx!$C$2:$C$13</c:f>
              <c:numCache>
                <c:formatCode>0.00%</c:formatCode>
                <c:ptCount val="12"/>
                <c:pt idx="0">
                  <c:v>0.1849</c:v>
                </c:pt>
                <c:pt idx="1">
                  <c:v>0.175</c:v>
                </c:pt>
                <c:pt idx="2">
                  <c:v>0.1319</c:v>
                </c:pt>
                <c:pt idx="3">
                  <c:v>0.1083</c:v>
                </c:pt>
                <c:pt idx="4">
                  <c:v>0.092</c:v>
                </c:pt>
                <c:pt idx="5">
                  <c:v>0.069</c:v>
                </c:pt>
                <c:pt idx="6">
                  <c:v>0.062</c:v>
                </c:pt>
                <c:pt idx="7">
                  <c:v>0.0613</c:v>
                </c:pt>
                <c:pt idx="8">
                  <c:v>0.0438</c:v>
                </c:pt>
                <c:pt idx="9">
                  <c:v>0.0294</c:v>
                </c:pt>
                <c:pt idx="10">
                  <c:v>0.024</c:v>
                </c:pt>
                <c:pt idx="11">
                  <c:v>0.0185</c:v>
                </c:pt>
              </c:numCache>
            </c:numRef>
          </c:val>
        </c:ser>
        <c:dLbls>
          <c:showLegendKey val="0"/>
          <c:showVal val="0"/>
          <c:showCatName val="0"/>
          <c:showSerName val="0"/>
          <c:showPercent val="0"/>
          <c:showBubbleSize val="0"/>
        </c:dLbls>
        <c:gapWidth val="100"/>
        <c:axId val="139959296"/>
        <c:axId val="139957760"/>
      </c:barChart>
      <c:catAx>
        <c:axId val="139913472"/>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139956224"/>
        <c:crosses val="autoZero"/>
        <c:auto val="1"/>
        <c:lblAlgn val="ctr"/>
        <c:lblOffset val="100"/>
        <c:noMultiLvlLbl val="0"/>
      </c:catAx>
      <c:valAx>
        <c:axId val="139956224"/>
        <c:scaling>
          <c:orientation val="minMax"/>
          <c:max val="0.23"/>
          <c:min val="0"/>
        </c:scaling>
        <c:delete val="1"/>
        <c:axPos val="b"/>
        <c:numFmt formatCode="0.00%" sourceLinked="1"/>
        <c:majorTickMark val="out"/>
        <c:minorTickMark val="none"/>
        <c:tickLblPos val="none"/>
        <c:txPr>
          <a:bodyPr rot="-6000000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139913472"/>
        <c:crosses val="autoZero"/>
        <c:crossBetween val="between"/>
      </c:valAx>
      <c:valAx>
        <c:axId val="139957760"/>
        <c:scaling>
          <c:orientation val="minMax"/>
        </c:scaling>
        <c:delete val="1"/>
        <c:axPos val="t"/>
        <c:numFmt formatCode="0.00%" sourceLinked="1"/>
        <c:majorTickMark val="out"/>
        <c:minorTickMark val="none"/>
        <c:tickLblPos val="none"/>
        <c:txPr>
          <a:bodyPr rot="-6000000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139959296"/>
        <c:crosses val="max"/>
        <c:crossBetween val="between"/>
      </c:valAx>
      <c:catAx>
        <c:axId val="139959296"/>
        <c:scaling>
          <c:orientation val="minMax"/>
        </c:scaling>
        <c:delete val="1"/>
        <c:axPos val="l"/>
        <c:numFmt formatCode="General" sourceLinked="1"/>
        <c:majorTickMark val="out"/>
        <c:minorTickMark val="none"/>
        <c:tickLblPos val="none"/>
        <c:txPr>
          <a:bodyPr rot="-6000000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13995776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900">
          <a:solidFill>
            <a:schemeClr val="tx1"/>
          </a:solidFill>
          <a:latin typeface="微软雅黑" panose="020B0503020204020204" pitchFamily="2" charset="-122"/>
          <a:ea typeface="微软雅黑" panose="020B0503020204020204" pitchFamily="2"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blipFill>
              <a:blip xmlns:r="http://schemas.openxmlformats.org/officeDocument/2006/relationships" r:embed="rId2"/>
              <a:stretch>
                <a:fillRect/>
              </a:stretch>
            </a:blipFill>
            <a:ln>
              <a:noFill/>
            </a:ln>
            <a:effectLst/>
          </c:spPr>
          <c:invertIfNegative val="0"/>
          <c:pictureOptions>
            <c:pictureFormat val="stack"/>
          </c:pictureOptions>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教学改进xx!$C$4:$C$10</c:f>
              <c:strCache>
                <c:ptCount val="7"/>
                <c:pt idx="0">
                  <c:v>实践教学</c:v>
                </c:pt>
                <c:pt idx="1">
                  <c:v>专业课内容及安排</c:v>
                </c:pt>
                <c:pt idx="2">
                  <c:v>教学方法和手段</c:v>
                </c:pt>
                <c:pt idx="3">
                  <c:v>考核方法与教学评价</c:v>
                </c:pt>
                <c:pt idx="4">
                  <c:v>公共课内容及安排</c:v>
                </c:pt>
                <c:pt idx="5">
                  <c:v>师资水平</c:v>
                </c:pt>
                <c:pt idx="6">
                  <c:v>其他</c:v>
                </c:pt>
              </c:strCache>
            </c:strRef>
          </c:cat>
          <c:val>
            <c:numRef>
              <c:f>教学改进xx!$E$4:$E$10</c:f>
              <c:numCache>
                <c:formatCode>0.00%</c:formatCode>
                <c:ptCount val="7"/>
                <c:pt idx="0">
                  <c:v>0.2433</c:v>
                </c:pt>
                <c:pt idx="1">
                  <c:v>0.1851</c:v>
                </c:pt>
                <c:pt idx="2">
                  <c:v>0.184</c:v>
                </c:pt>
                <c:pt idx="3">
                  <c:v>0.1407</c:v>
                </c:pt>
                <c:pt idx="4">
                  <c:v>0.1127</c:v>
                </c:pt>
                <c:pt idx="5">
                  <c:v>0.0782</c:v>
                </c:pt>
                <c:pt idx="6">
                  <c:v>0.056</c:v>
                </c:pt>
              </c:numCache>
            </c:numRef>
          </c:val>
        </c:ser>
        <c:dLbls>
          <c:showLegendKey val="0"/>
          <c:showVal val="1"/>
          <c:showCatName val="0"/>
          <c:showSerName val="0"/>
          <c:showPercent val="0"/>
          <c:showBubbleSize val="0"/>
        </c:dLbls>
        <c:gapWidth val="120"/>
        <c:axId val="139971584"/>
        <c:axId val="139977472"/>
      </c:barChart>
      <c:catAx>
        <c:axId val="139971584"/>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39977472"/>
        <c:crosses val="autoZero"/>
        <c:auto val="1"/>
        <c:lblAlgn val="ctr"/>
        <c:lblOffset val="100"/>
        <c:noMultiLvlLbl val="0"/>
      </c:catAx>
      <c:valAx>
        <c:axId val="139977472"/>
        <c:scaling>
          <c:orientation val="minMax"/>
        </c:scaling>
        <c:delete val="0"/>
        <c:axPos val="b"/>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3997158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900">
          <a:latin typeface="微软雅黑" panose="020B0503020204020204" pitchFamily="2" charset="-122"/>
          <a:ea typeface="微软雅黑" panose="020B0503020204020204" pitchFamily="2"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blipFill>
              <a:blip xmlns:r="http://schemas.openxmlformats.org/officeDocument/2006/relationships" r:embed="rId2"/>
              <a:stretch>
                <a:fillRect/>
              </a:stretch>
            </a:blipFill>
            <a:ln>
              <a:noFill/>
            </a:ln>
            <a:effectLst/>
          </c:spPr>
          <c:invertIfNegative val="0"/>
          <c:pictureOptions>
            <c:pictureFormat val="stack"/>
          </c:pictureOptions>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'课程改进 (xx)'!$C$4:$C$10</c:f>
              <c:strCache>
                <c:ptCount val="7"/>
                <c:pt idx="0">
                  <c:v>专业课程实用性</c:v>
                </c:pt>
                <c:pt idx="1">
                  <c:v>专业课先后顺序</c:v>
                </c:pt>
                <c:pt idx="2">
                  <c:v>实践课安排次数</c:v>
                </c:pt>
                <c:pt idx="3">
                  <c:v>各学期课程门数</c:v>
                </c:pt>
                <c:pt idx="4">
                  <c:v>每周上课时间</c:v>
                </c:pt>
                <c:pt idx="5">
                  <c:v>公共课时间</c:v>
                </c:pt>
                <c:pt idx="6">
                  <c:v>其他</c:v>
                </c:pt>
              </c:strCache>
            </c:strRef>
          </c:cat>
          <c:val>
            <c:numRef>
              <c:f>'课程改进 (xx)'!$E$4:$E$10</c:f>
              <c:numCache>
                <c:formatCode>0.00%</c:formatCode>
                <c:ptCount val="7"/>
                <c:pt idx="0">
                  <c:v>0.2799</c:v>
                </c:pt>
                <c:pt idx="1">
                  <c:v>0.1905</c:v>
                </c:pt>
                <c:pt idx="2">
                  <c:v>0.1811</c:v>
                </c:pt>
                <c:pt idx="3">
                  <c:v>0.1548</c:v>
                </c:pt>
                <c:pt idx="4">
                  <c:v>0.0877</c:v>
                </c:pt>
                <c:pt idx="5">
                  <c:v>0.0678</c:v>
                </c:pt>
                <c:pt idx="6">
                  <c:v>0.0382</c:v>
                </c:pt>
              </c:numCache>
            </c:numRef>
          </c:val>
        </c:ser>
        <c:dLbls>
          <c:showLegendKey val="0"/>
          <c:showVal val="1"/>
          <c:showCatName val="0"/>
          <c:showSerName val="0"/>
          <c:showPercent val="0"/>
          <c:showBubbleSize val="0"/>
        </c:dLbls>
        <c:gapWidth val="120"/>
        <c:axId val="140280192"/>
        <c:axId val="140281728"/>
      </c:barChart>
      <c:catAx>
        <c:axId val="140280192"/>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40281728"/>
        <c:crosses val="autoZero"/>
        <c:auto val="1"/>
        <c:lblAlgn val="ctr"/>
        <c:lblOffset val="100"/>
        <c:noMultiLvlLbl val="0"/>
      </c:catAx>
      <c:valAx>
        <c:axId val="140281728"/>
        <c:scaling>
          <c:orientation val="minMax"/>
        </c:scaling>
        <c:delete val="0"/>
        <c:axPos val="b"/>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4028019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900">
          <a:latin typeface="微软雅黑" panose="020B0503020204020204" pitchFamily="2" charset="-122"/>
          <a:ea typeface="微软雅黑" panose="020B0503020204020204" pitchFamily="2"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46C3E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毕业生对母校满意度模型wei!$E$27:$E$38</c:f>
              <c:strCache>
                <c:ptCount val="12"/>
                <c:pt idx="0">
                  <c:v>人才培养</c:v>
                </c:pt>
                <c:pt idx="1">
                  <c:v>教师授课</c:v>
                </c:pt>
                <c:pt idx="2">
                  <c:v>实践教学</c:v>
                </c:pt>
                <c:pt idx="3">
                  <c:v>专业及课程设置</c:v>
                </c:pt>
                <c:pt idx="4">
                  <c:v>母校推荐度</c:v>
                </c:pt>
                <c:pt idx="5">
                  <c:v>就业/创业指导课</c:v>
                </c:pt>
                <c:pt idx="6">
                  <c:v>职业咨询/辅导</c:v>
                </c:pt>
                <c:pt idx="7">
                  <c:v>校园招聘活动</c:v>
                </c:pt>
                <c:pt idx="8">
                  <c:v>就业信息提供与发布</c:v>
                </c:pt>
                <c:pt idx="9">
                  <c:v>就业手续办理</c:v>
                </c:pt>
                <c:pt idx="10">
                  <c:v>就业困难群体帮扶</c:v>
                </c:pt>
                <c:pt idx="11">
                  <c:v>就业政策宣传与讲解</c:v>
                </c:pt>
              </c:strCache>
            </c:strRef>
          </c:cat>
          <c:val>
            <c:numRef>
              <c:f>毕业生对母校满意度模型wei!$P$27:$P$38</c:f>
              <c:numCache>
                <c:formatCode>General</c:formatCode>
                <c:ptCount val="12"/>
                <c:pt idx="0">
                  <c:v>3.49</c:v>
                </c:pt>
                <c:pt idx="1">
                  <c:v>3.75</c:v>
                </c:pt>
                <c:pt idx="2">
                  <c:v>3.56</c:v>
                </c:pt>
                <c:pt idx="3">
                  <c:v>3.68</c:v>
                </c:pt>
                <c:pt idx="4">
                  <c:v>3.55</c:v>
                </c:pt>
                <c:pt idx="5" c:formatCode="0.00_);[Red]\(0.00\)">
                  <c:v>4.12191103789126</c:v>
                </c:pt>
                <c:pt idx="6" c:formatCode="0.00_);[Red]\(0.00\)">
                  <c:v>4.02883031301483</c:v>
                </c:pt>
                <c:pt idx="7" c:formatCode="0.00_);[Red]\(0.00\)">
                  <c:v>4.34596375617791</c:v>
                </c:pt>
                <c:pt idx="8" c:formatCode="0.00_);[Red]\(0.00\)">
                  <c:v>4.38550247116969</c:v>
                </c:pt>
                <c:pt idx="9" c:formatCode="0.00_);[Red]\(0.00\)">
                  <c:v>4.1805441055235</c:v>
                </c:pt>
                <c:pt idx="10" c:formatCode="0.00_);[Red]\(0.00\)">
                  <c:v>4.05028854080791</c:v>
                </c:pt>
                <c:pt idx="11" c:formatCode="0.00_);[Red]\(0.00\)">
                  <c:v>4.13054393305439</c:v>
                </c:pt>
              </c:numCache>
            </c:numRef>
          </c:val>
        </c:ser>
        <c:dLbls>
          <c:showLegendKey val="0"/>
          <c:showVal val="0"/>
          <c:showCatName val="0"/>
          <c:showSerName val="0"/>
          <c:showPercent val="0"/>
          <c:showBubbleSize val="0"/>
        </c:dLbls>
        <c:gapWidth val="120"/>
        <c:axId val="140305920"/>
        <c:axId val="140307456"/>
      </c:barChart>
      <c:catAx>
        <c:axId val="140305920"/>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307456"/>
        <c:crosses val="autoZero"/>
        <c:auto val="1"/>
        <c:lblAlgn val="ctr"/>
        <c:lblOffset val="100"/>
        <c:noMultiLvlLbl val="0"/>
      </c:catAx>
      <c:valAx>
        <c:axId val="140307456"/>
        <c:scaling>
          <c:orientation val="minMax"/>
          <c:min val="0"/>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30592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2D7F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毕业生对母校满意度模型wei!$E$27:$E$38</c:f>
              <c:strCache>
                <c:ptCount val="12"/>
                <c:pt idx="0">
                  <c:v>人才培养</c:v>
                </c:pt>
                <c:pt idx="1">
                  <c:v>教师授课</c:v>
                </c:pt>
                <c:pt idx="2">
                  <c:v>实践教学</c:v>
                </c:pt>
                <c:pt idx="3">
                  <c:v>专业及课程设置</c:v>
                </c:pt>
                <c:pt idx="4">
                  <c:v>母校推荐度</c:v>
                </c:pt>
                <c:pt idx="5">
                  <c:v>就业/创业指导课</c:v>
                </c:pt>
                <c:pt idx="6">
                  <c:v>职业咨询/辅导</c:v>
                </c:pt>
                <c:pt idx="7">
                  <c:v>校园招聘活动</c:v>
                </c:pt>
                <c:pt idx="8">
                  <c:v>就业信息提供与发布</c:v>
                </c:pt>
                <c:pt idx="9">
                  <c:v>就业手续办理</c:v>
                </c:pt>
                <c:pt idx="10">
                  <c:v>就业困难群体帮扶</c:v>
                </c:pt>
                <c:pt idx="11">
                  <c:v>就业政策宣传与讲解</c:v>
                </c:pt>
              </c:strCache>
            </c:strRef>
          </c:cat>
          <c:val>
            <c:numRef>
              <c:f>毕业生对母校满意度模型wei!$N$27:$N$38</c:f>
              <c:numCache>
                <c:formatCode>0.00%</c:formatCode>
                <c:ptCount val="12"/>
                <c:pt idx="0">
                  <c:v>0.0966276523242987</c:v>
                </c:pt>
                <c:pt idx="1">
                  <c:v>0.0977703765280816</c:v>
                </c:pt>
                <c:pt idx="2">
                  <c:v>0.0990146595177965</c:v>
                </c:pt>
                <c:pt idx="3">
                  <c:v>0.0986427028315839</c:v>
                </c:pt>
                <c:pt idx="4">
                  <c:v>0.0851406696496937</c:v>
                </c:pt>
                <c:pt idx="5">
                  <c:v>0.0791571729030707</c:v>
                </c:pt>
                <c:pt idx="6">
                  <c:v>0.0790456381144643</c:v>
                </c:pt>
                <c:pt idx="7">
                  <c:v>0.0713247385213741</c:v>
                </c:pt>
                <c:pt idx="8">
                  <c:v>0.0682906786711505</c:v>
                </c:pt>
                <c:pt idx="9">
                  <c:v>0.0753946858570071</c:v>
                </c:pt>
                <c:pt idx="10">
                  <c:v>0.0740872984365352</c:v>
                </c:pt>
                <c:pt idx="11">
                  <c:v>0.0755037266449448</c:v>
                </c:pt>
              </c:numCache>
            </c:numRef>
          </c:val>
        </c:ser>
        <c:dLbls>
          <c:showLegendKey val="0"/>
          <c:showVal val="0"/>
          <c:showCatName val="0"/>
          <c:showSerName val="0"/>
          <c:showPercent val="0"/>
          <c:showBubbleSize val="0"/>
        </c:dLbls>
        <c:gapWidth val="182"/>
        <c:axId val="140339840"/>
        <c:axId val="140349824"/>
      </c:barChart>
      <c:catAx>
        <c:axId val="1403398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349824"/>
        <c:crossesAt val="0.0833"/>
        <c:auto val="1"/>
        <c:lblAlgn val="ctr"/>
        <c:lblOffset val="100"/>
        <c:noMultiLvlLbl val="0"/>
      </c:catAx>
      <c:valAx>
        <c:axId val="140349824"/>
        <c:scaling>
          <c:orientation val="minMax"/>
          <c:min val="0.06"/>
        </c:scaling>
        <c:delete val="0"/>
        <c:axPos val="l"/>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33984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447105788424"/>
          <c:y val="0.0370093457943926"/>
          <c:w val="0.819640718562876"/>
          <c:h val="0.608153653690487"/>
        </c:manualLayout>
      </c:layout>
      <c:barChart>
        <c:barDir val="col"/>
        <c:grouping val="clustered"/>
        <c:varyColors val="0"/>
        <c:ser>
          <c:idx val="0"/>
          <c:order val="0"/>
          <c:spPr>
            <a:solidFill>
              <a:srgbClr val="46C3E3"/>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单位性质XX!$C$4:$C$8</c:f>
              <c:strCache>
                <c:ptCount val="5"/>
                <c:pt idx="0">
                  <c:v>其他企业</c:v>
                </c:pt>
                <c:pt idx="1">
                  <c:v>三资企业</c:v>
                </c:pt>
                <c:pt idx="2">
                  <c:v>其他教学单位</c:v>
                </c:pt>
                <c:pt idx="3">
                  <c:v>其他事业单位</c:v>
                </c:pt>
                <c:pt idx="4">
                  <c:v>国有企业</c:v>
                </c:pt>
              </c:strCache>
            </c:strRef>
          </c:cat>
          <c:val>
            <c:numRef>
              <c:f>单位性质XX!$E$4:$E$8</c:f>
              <c:numCache>
                <c:formatCode>0.00%</c:formatCode>
                <c:ptCount val="5"/>
                <c:pt idx="0">
                  <c:v>0.673500000000001</c:v>
                </c:pt>
                <c:pt idx="1">
                  <c:v>0.1837</c:v>
                </c:pt>
                <c:pt idx="2">
                  <c:v>0.0612</c:v>
                </c:pt>
                <c:pt idx="3">
                  <c:v>0.0408</c:v>
                </c:pt>
                <c:pt idx="4">
                  <c:v>0.0408</c:v>
                </c:pt>
              </c:numCache>
            </c:numRef>
          </c:val>
        </c:ser>
        <c:dLbls>
          <c:showLegendKey val="0"/>
          <c:showVal val="1"/>
          <c:showCatName val="0"/>
          <c:showSerName val="0"/>
          <c:showPercent val="0"/>
          <c:showBubbleSize val="0"/>
        </c:dLbls>
        <c:gapWidth val="120"/>
        <c:axId val="140455936"/>
        <c:axId val="140457472"/>
      </c:barChart>
      <c:catAx>
        <c:axId val="140455936"/>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40457472"/>
        <c:crosses val="autoZero"/>
        <c:auto val="1"/>
        <c:lblAlgn val="ctr"/>
        <c:lblOffset val="100"/>
        <c:noMultiLvlLbl val="0"/>
      </c:catAx>
      <c:valAx>
        <c:axId val="140457472"/>
        <c:scaling>
          <c:orientation val="minMax"/>
        </c:scaling>
        <c:delete val="0"/>
        <c:axPos val="l"/>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4045593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900">
          <a:latin typeface="微软雅黑" panose="020B0503020204020204" pitchFamily="2" charset="-122"/>
          <a:ea typeface="微软雅黑" panose="020B0503020204020204" pitchFamily="2"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770637541275"/>
          <c:y val="0.0418477690288714"/>
          <c:w val="0.821917534501736"/>
          <c:h val="0.5697343832021"/>
        </c:manualLayout>
      </c:layout>
      <c:barChart>
        <c:barDir val="col"/>
        <c:grouping val="clustered"/>
        <c:varyColors val="0"/>
        <c:ser>
          <c:idx val="0"/>
          <c:order val="0"/>
          <c:spPr>
            <a:solidFill>
              <a:srgbClr val="46C3E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规模XX!$C$4:$C$8</c:f>
              <c:strCache>
                <c:ptCount val="5"/>
                <c:pt idx="0">
                  <c:v>1—49人</c:v>
                </c:pt>
                <c:pt idx="1">
                  <c:v>50—99人</c:v>
                </c:pt>
                <c:pt idx="2">
                  <c:v>100—499人</c:v>
                </c:pt>
                <c:pt idx="3">
                  <c:v>500—999人</c:v>
                </c:pt>
                <c:pt idx="4">
                  <c:v>1000人以上</c:v>
                </c:pt>
              </c:strCache>
            </c:strRef>
          </c:cat>
          <c:val>
            <c:numRef>
              <c:f>规模XX!$E$4:$E$8</c:f>
              <c:numCache>
                <c:formatCode>0.00%</c:formatCode>
                <c:ptCount val="5"/>
                <c:pt idx="0">
                  <c:v>0.2041</c:v>
                </c:pt>
                <c:pt idx="1">
                  <c:v>0.2245</c:v>
                </c:pt>
                <c:pt idx="2">
                  <c:v>0.2245</c:v>
                </c:pt>
                <c:pt idx="3">
                  <c:v>0.0408</c:v>
                </c:pt>
                <c:pt idx="4">
                  <c:v>0.3061</c:v>
                </c:pt>
              </c:numCache>
            </c:numRef>
          </c:val>
        </c:ser>
        <c:dLbls>
          <c:showLegendKey val="0"/>
          <c:showVal val="0"/>
          <c:showCatName val="0"/>
          <c:showSerName val="0"/>
          <c:showPercent val="0"/>
          <c:showBubbleSize val="0"/>
        </c:dLbls>
        <c:gapWidth val="219"/>
        <c:overlap val="-27"/>
        <c:axId val="140477568"/>
        <c:axId val="140479104"/>
      </c:barChart>
      <c:catAx>
        <c:axId val="14047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479104"/>
        <c:crosses val="autoZero"/>
        <c:auto val="1"/>
        <c:lblAlgn val="ctr"/>
        <c:lblOffset val="100"/>
        <c:noMultiLvlLbl val="0"/>
      </c:catAx>
      <c:valAx>
        <c:axId val="140479104"/>
        <c:scaling>
          <c:orientation val="minMax"/>
        </c:scaling>
        <c:delete val="0"/>
        <c:axPos val="l"/>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477568"/>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46C3E3"/>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单位行业XX!$C$4:$C$19</c:f>
              <c:strCache>
                <c:ptCount val="16"/>
                <c:pt idx="0">
                  <c:v>教育</c:v>
                </c:pt>
                <c:pt idx="1">
                  <c:v>信息传输，软件和信息技术服务业</c:v>
                </c:pt>
                <c:pt idx="2">
                  <c:v>制造业</c:v>
                </c:pt>
                <c:pt idx="3">
                  <c:v>房地产业</c:v>
                </c:pt>
                <c:pt idx="4">
                  <c:v>金融业</c:v>
                </c:pt>
                <c:pt idx="5">
                  <c:v>科学研究和技术服务业</c:v>
                </c:pt>
                <c:pt idx="6">
                  <c:v>交通运输，仓储和邮政业</c:v>
                </c:pt>
                <c:pt idx="7">
                  <c:v>住宿和餐饮业</c:v>
                </c:pt>
                <c:pt idx="8">
                  <c:v>文化，体育和娱乐业</c:v>
                </c:pt>
                <c:pt idx="9">
                  <c:v>农, 林，渔，牧，业</c:v>
                </c:pt>
                <c:pt idx="10">
                  <c:v>电力，热力，燃气及水生产和供应业</c:v>
                </c:pt>
                <c:pt idx="11">
                  <c:v>建筑业</c:v>
                </c:pt>
                <c:pt idx="12">
                  <c:v>批发和零售业</c:v>
                </c:pt>
                <c:pt idx="13">
                  <c:v>租赁和商品服务业</c:v>
                </c:pt>
                <c:pt idx="14">
                  <c:v>水利，环境和公共设施管理业</c:v>
                </c:pt>
                <c:pt idx="15">
                  <c:v>卫生和社会工作</c:v>
                </c:pt>
              </c:strCache>
            </c:strRef>
          </c:cat>
          <c:val>
            <c:numRef>
              <c:f>单位行业XX!$E$4:$E$19</c:f>
              <c:numCache>
                <c:formatCode>0.00%</c:formatCode>
                <c:ptCount val="16"/>
                <c:pt idx="0">
                  <c:v>0.2653</c:v>
                </c:pt>
                <c:pt idx="1">
                  <c:v>0.1429</c:v>
                </c:pt>
                <c:pt idx="2">
                  <c:v>0.102</c:v>
                </c:pt>
                <c:pt idx="3">
                  <c:v>0.102</c:v>
                </c:pt>
                <c:pt idx="4">
                  <c:v>0.0612</c:v>
                </c:pt>
                <c:pt idx="5">
                  <c:v>0.0612</c:v>
                </c:pt>
                <c:pt idx="6">
                  <c:v>0.0408</c:v>
                </c:pt>
                <c:pt idx="7">
                  <c:v>0.0408</c:v>
                </c:pt>
                <c:pt idx="8">
                  <c:v>0.0408</c:v>
                </c:pt>
                <c:pt idx="9">
                  <c:v>0.0204</c:v>
                </c:pt>
                <c:pt idx="10">
                  <c:v>0.0204</c:v>
                </c:pt>
                <c:pt idx="11">
                  <c:v>0.0204</c:v>
                </c:pt>
                <c:pt idx="12">
                  <c:v>0.0204</c:v>
                </c:pt>
                <c:pt idx="13">
                  <c:v>0.0204</c:v>
                </c:pt>
                <c:pt idx="14">
                  <c:v>0.0204</c:v>
                </c:pt>
                <c:pt idx="15">
                  <c:v>0.0204</c:v>
                </c:pt>
              </c:numCache>
            </c:numRef>
          </c:val>
        </c:ser>
        <c:dLbls>
          <c:showLegendKey val="0"/>
          <c:showVal val="1"/>
          <c:showCatName val="0"/>
          <c:showSerName val="0"/>
          <c:showPercent val="0"/>
          <c:showBubbleSize val="0"/>
        </c:dLbls>
        <c:gapWidth val="120"/>
        <c:axId val="142416128"/>
        <c:axId val="142430208"/>
      </c:barChart>
      <c:catAx>
        <c:axId val="142416128"/>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42430208"/>
        <c:crosses val="autoZero"/>
        <c:auto val="1"/>
        <c:lblAlgn val="ctr"/>
        <c:lblOffset val="100"/>
        <c:noMultiLvlLbl val="0"/>
      </c:catAx>
      <c:valAx>
        <c:axId val="142430208"/>
        <c:scaling>
          <c:orientation val="minMax"/>
        </c:scaling>
        <c:delete val="0"/>
        <c:axPos val="b"/>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42416128"/>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900">
          <a:latin typeface="微软雅黑" panose="020B0503020204020204" pitchFamily="2" charset="-122"/>
          <a:ea typeface="微软雅黑" panose="020B0503020204020204" pitchFamily="2"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B3D9A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贝贝里</cp:lastModifiedBy>
  <dcterms:modified xsi:type="dcterms:W3CDTF">2019-01-16T03:49:50Z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